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D5C79">
      <w:pPr>
        <w:pStyle w:val="2"/>
        <w:keepNext w:val="0"/>
        <w:keepLines w:val="0"/>
        <w:pageBreakBefore w:val="0"/>
        <w:widowControl w:val="0"/>
        <w:kinsoku/>
        <w:wordWrap/>
        <w:overflowPunct/>
        <w:topLinePunct w:val="0"/>
        <w:autoSpaceDE/>
        <w:autoSpaceDN w:val="0"/>
        <w:bidi w:val="0"/>
        <w:adjustRightInd/>
        <w:snapToGrid/>
        <w:spacing w:before="7" w:line="560" w:lineRule="exact"/>
        <w:jc w:val="center"/>
        <w:textAlignment w:val="auto"/>
        <w:rPr>
          <w:rFonts w:hint="eastAsia" w:ascii="方正小标宋简体" w:hAnsi="Times New Roman" w:eastAsia="方正小标宋简体" w:cs="Times New Roman"/>
          <w:snapToGrid/>
          <w:kern w:val="2"/>
          <w:sz w:val="28"/>
          <w:szCs w:val="28"/>
          <w:lang w:val="en-US" w:eastAsia="zh-CN" w:bidi="ar-SA"/>
        </w:rPr>
      </w:pPr>
      <w:r>
        <w:rPr>
          <w:rFonts w:hint="eastAsia" w:ascii="方正小标宋简体" w:hAnsi="Times New Roman" w:eastAsia="方正小标宋简体" w:cs="Times New Roman"/>
          <w:snapToGrid/>
          <w:kern w:val="2"/>
          <w:sz w:val="44"/>
          <w:szCs w:val="44"/>
          <w:lang w:val="en-US" w:eastAsia="zh-CN" w:bidi="ar-SA"/>
        </w:rPr>
        <w:t>咸宁市商品过度包装产品质量监督抽查实施细则（2026版）</w:t>
      </w:r>
    </w:p>
    <w:p w14:paraId="1CB32C1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1 抽样</w:t>
      </w:r>
    </w:p>
    <w:p w14:paraId="0FED4DF4">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1.1 抽样方法</w:t>
      </w:r>
    </w:p>
    <w:p w14:paraId="53288AE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以随机抽样的方式在被抽样生产者、销售者的待销产品中抽取。随机数一般可使用随机数表等方法产生。</w:t>
      </w:r>
    </w:p>
    <w:p w14:paraId="6502FA4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1.2抽样数量</w:t>
      </w:r>
    </w:p>
    <w:p w14:paraId="6F6856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每批次产品抽取样品2</w:t>
      </w:r>
      <w:r>
        <w:rPr>
          <w:rFonts w:hint="eastAsia" w:ascii="方正仿宋_GB2312" w:hAnsi="方正仿宋_GB2312" w:eastAsia="方正仿宋_GB2312" w:cs="方正仿宋_GB2312"/>
          <w:sz w:val="32"/>
          <w:szCs w:val="32"/>
          <w:lang w:eastAsia="zh-CN"/>
        </w:rPr>
        <w:t>件</w:t>
      </w:r>
      <w:r>
        <w:rPr>
          <w:rFonts w:hint="eastAsia" w:ascii="方正仿宋_GB2312" w:hAnsi="方正仿宋_GB2312" w:eastAsia="方正仿宋_GB2312" w:cs="方正仿宋_GB2312"/>
          <w:sz w:val="32"/>
          <w:szCs w:val="32"/>
        </w:rPr>
        <w:t>，其中1</w:t>
      </w:r>
      <w:r>
        <w:rPr>
          <w:rFonts w:hint="eastAsia" w:ascii="方正仿宋_GB2312" w:hAnsi="方正仿宋_GB2312" w:eastAsia="方正仿宋_GB2312" w:cs="方正仿宋_GB2312"/>
          <w:sz w:val="32"/>
          <w:szCs w:val="32"/>
          <w:lang w:eastAsia="zh-CN"/>
        </w:rPr>
        <w:t>件</w:t>
      </w:r>
      <w:r>
        <w:rPr>
          <w:rFonts w:hint="eastAsia" w:ascii="方正仿宋_GB2312" w:hAnsi="方正仿宋_GB2312" w:eastAsia="方正仿宋_GB2312" w:cs="方正仿宋_GB2312"/>
          <w:sz w:val="32"/>
          <w:szCs w:val="32"/>
        </w:rPr>
        <w:t>作为检验样品，1</w:t>
      </w:r>
      <w:r>
        <w:rPr>
          <w:rFonts w:hint="eastAsia" w:ascii="方正仿宋_GB2312" w:hAnsi="方正仿宋_GB2312" w:eastAsia="方正仿宋_GB2312" w:cs="方正仿宋_GB2312"/>
          <w:sz w:val="32"/>
          <w:szCs w:val="32"/>
          <w:lang w:eastAsia="zh-CN"/>
        </w:rPr>
        <w:t>件</w:t>
      </w:r>
      <w:r>
        <w:rPr>
          <w:rFonts w:hint="eastAsia" w:ascii="方正仿宋_GB2312" w:hAnsi="方正仿宋_GB2312" w:eastAsia="方正仿宋_GB2312" w:cs="方正仿宋_GB2312"/>
          <w:sz w:val="32"/>
          <w:szCs w:val="32"/>
        </w:rPr>
        <w:t>作为备用样品。</w:t>
      </w:r>
    </w:p>
    <w:p w14:paraId="23EE442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1.3样品处置</w:t>
      </w:r>
    </w:p>
    <w:p w14:paraId="06CEF7C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对样品进行封样，样品应妥善包装，应当严密、牢固以保证确保样品的真实性，同时保证封条在运输过程中不会破损，由抽样人员和被抽查单位有关人员在封样单上签名。为防拆封，可使用多张封样单。</w:t>
      </w:r>
    </w:p>
    <w:p w14:paraId="51C006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按规定对样品封条进行检查、接收，并做必要的检查记录，如发现异常，应保持样品原状。运送时应防止剧烈碰撞损坏样品。</w:t>
      </w:r>
    </w:p>
    <w:p w14:paraId="68A5A45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1.4抽样单</w:t>
      </w:r>
    </w:p>
    <w:p w14:paraId="582CB7D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方正仿宋_GB2312" w:hAnsi="方正仿宋_GB2312" w:eastAsia="方正仿宋_GB2312" w:cs="方正仿宋_GB2312"/>
          <w:sz w:val="32"/>
          <w:szCs w:val="32"/>
        </w:rPr>
        <w:t>抽样人员应填写《产品质量监督抽查抽样单》，该抽样单必须由抽样人员和被抽查单位有关人员签字，并加盖被抽查单位公章。</w:t>
      </w:r>
    </w:p>
    <w:p w14:paraId="5FDD938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1.5样品获取方式</w:t>
      </w:r>
    </w:p>
    <w:p w14:paraId="7DC2520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方正仿宋_GB2312" w:hAnsi="方正仿宋_GB2312" w:eastAsia="方正仿宋_GB2312" w:cs="方正仿宋_GB2312"/>
          <w:sz w:val="32"/>
          <w:szCs w:val="32"/>
        </w:rPr>
        <w:t>监督抽查所需的样品要在受检单位以购买方式获取。</w:t>
      </w:r>
    </w:p>
    <w:p w14:paraId="0D05046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1.6抽样注意事项</w:t>
      </w:r>
    </w:p>
    <w:p w14:paraId="41BE5B2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方正仿宋_GB2312" w:hAnsi="方正仿宋_GB2312" w:eastAsia="方正仿宋_GB2312" w:cs="方正仿宋_GB2312"/>
          <w:sz w:val="32"/>
          <w:szCs w:val="32"/>
        </w:rPr>
        <w:t>抽样时，抽样人员应当认真核实营业执照等被抽查单位的相关信息，确认企业不存在不得抽样的情形。遇有下列情况之一且能提供有效证明的，不得抽样：</w:t>
      </w:r>
    </w:p>
    <w:p w14:paraId="10E80E4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sz w:val="32"/>
          <w:szCs w:val="32"/>
        </w:rPr>
      </w:pPr>
      <w:r>
        <w:rPr>
          <w:rFonts w:hint="eastAsia" w:ascii="仿宋" w:hAnsi="仿宋" w:eastAsia="仿宋" w:cs="仿宋"/>
          <w:sz w:val="32"/>
          <w:szCs w:val="32"/>
        </w:rPr>
        <w:t>　　</w:t>
      </w:r>
      <w:r>
        <w:rPr>
          <w:rFonts w:hint="eastAsia" w:ascii="方正仿宋_GB2312" w:hAnsi="方正仿宋_GB2312" w:eastAsia="方正仿宋_GB2312" w:cs="方正仿宋_GB2312"/>
          <w:sz w:val="32"/>
          <w:szCs w:val="32"/>
        </w:rPr>
        <w:t>（1）被抽查单位无监督抽查通知书或者相关文件复印件所列产品的。</w:t>
      </w:r>
    </w:p>
    <w:p w14:paraId="335EA4B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（2）产品或者其包装上标注 “试制”、“处理”、“样品”等字样的。</w:t>
      </w:r>
    </w:p>
    <w:p w14:paraId="685645C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2 检验依据</w:t>
      </w:r>
    </w:p>
    <w:p w14:paraId="53BFB783">
      <w:pPr>
        <w:keepNext w:val="0"/>
        <w:keepLines w:val="0"/>
        <w:pageBreakBefore w:val="0"/>
        <w:widowControl w:val="0"/>
        <w:kinsoku/>
        <w:overflowPunct/>
        <w:autoSpaceDE/>
        <w:autoSpaceDN/>
        <w:bidi w:val="0"/>
        <w:adjustRightInd/>
        <w:snapToGrid/>
        <w:spacing w:line="540" w:lineRule="exact"/>
        <w:jc w:val="center"/>
        <w:textAlignment w:val="auto"/>
        <w:rPr>
          <w:rFonts w:hint="eastAsia" w:ascii="仿宋" w:hAnsi="仿宋" w:eastAsia="仿宋" w:cs="仿宋"/>
          <w:sz w:val="28"/>
          <w:szCs w:val="28"/>
        </w:rPr>
      </w:pPr>
      <w:r>
        <w:rPr>
          <w:rFonts w:hint="eastAsia" w:ascii="方正仿宋_GB2312" w:hAnsi="方正仿宋_GB2312" w:eastAsia="方正仿宋_GB2312" w:cs="方正仿宋_GB2312"/>
          <w:sz w:val="28"/>
          <w:szCs w:val="28"/>
        </w:rPr>
        <w:t xml:space="preserve">表1 </w:t>
      </w:r>
      <w:r>
        <w:rPr>
          <w:rFonts w:hint="eastAsia" w:ascii="仿宋" w:hAnsi="仿宋" w:eastAsia="仿宋" w:cs="仿宋"/>
          <w:sz w:val="28"/>
          <w:szCs w:val="28"/>
        </w:rPr>
        <w:t xml:space="preserve"> </w:t>
      </w:r>
      <w:r>
        <w:rPr>
          <w:rFonts w:hint="eastAsia" w:ascii="方正仿宋_GB2312" w:hAnsi="方正仿宋_GB2312" w:eastAsia="方正仿宋_GB2312" w:cs="方正仿宋_GB2312"/>
          <w:sz w:val="28"/>
          <w:szCs w:val="28"/>
        </w:rPr>
        <w:t>商品过度包装产品检测项目</w:t>
      </w:r>
    </w:p>
    <w:tbl>
      <w:tblPr>
        <w:tblStyle w:val="3"/>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1780"/>
        <w:gridCol w:w="3310"/>
        <w:gridCol w:w="2887"/>
      </w:tblGrid>
      <w:tr w14:paraId="61CF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blHeader/>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5E7D0DF">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序号</w:t>
            </w:r>
          </w:p>
        </w:tc>
        <w:tc>
          <w:tcPr>
            <w:tcW w:w="1780" w:type="dxa"/>
            <w:tcBorders>
              <w:top w:val="single" w:color="auto" w:sz="4" w:space="0"/>
              <w:left w:val="single" w:color="auto" w:sz="4" w:space="0"/>
              <w:bottom w:val="single" w:color="auto" w:sz="4" w:space="0"/>
              <w:right w:val="single" w:color="auto" w:sz="4" w:space="0"/>
            </w:tcBorders>
            <w:noWrap w:val="0"/>
            <w:vAlign w:val="center"/>
          </w:tcPr>
          <w:p w14:paraId="44E2AB27">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检验项目</w:t>
            </w:r>
          </w:p>
        </w:tc>
        <w:tc>
          <w:tcPr>
            <w:tcW w:w="3310" w:type="dxa"/>
            <w:tcBorders>
              <w:top w:val="single" w:color="auto" w:sz="4" w:space="0"/>
              <w:left w:val="single" w:color="auto" w:sz="4" w:space="0"/>
              <w:bottom w:val="single" w:color="auto" w:sz="4" w:space="0"/>
              <w:right w:val="single" w:color="auto" w:sz="4" w:space="0"/>
            </w:tcBorders>
            <w:noWrap w:val="0"/>
            <w:vAlign w:val="center"/>
          </w:tcPr>
          <w:p w14:paraId="573C8DBE">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检验依据</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32C8419E">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检测方法</w:t>
            </w:r>
          </w:p>
        </w:tc>
      </w:tr>
      <w:tr w14:paraId="4AE5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exac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3E66358F">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w:t>
            </w:r>
          </w:p>
        </w:tc>
        <w:tc>
          <w:tcPr>
            <w:tcW w:w="1780" w:type="dxa"/>
            <w:tcBorders>
              <w:top w:val="single" w:color="auto" w:sz="4" w:space="0"/>
              <w:left w:val="single" w:color="auto" w:sz="4" w:space="0"/>
              <w:bottom w:val="single" w:color="auto" w:sz="4" w:space="0"/>
              <w:right w:val="single" w:color="auto" w:sz="4" w:space="0"/>
            </w:tcBorders>
            <w:noWrap w:val="0"/>
            <w:vAlign w:val="center"/>
          </w:tcPr>
          <w:p w14:paraId="454BCDF2">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包装空隙率</w:t>
            </w:r>
          </w:p>
        </w:tc>
        <w:tc>
          <w:tcPr>
            <w:tcW w:w="3310" w:type="dxa"/>
            <w:vMerge w:val="restart"/>
            <w:tcBorders>
              <w:top w:val="single" w:color="auto" w:sz="4" w:space="0"/>
              <w:left w:val="single" w:color="auto" w:sz="4" w:space="0"/>
              <w:right w:val="single" w:color="auto" w:sz="4" w:space="0"/>
            </w:tcBorders>
            <w:noWrap w:val="0"/>
            <w:vAlign w:val="center"/>
          </w:tcPr>
          <w:p w14:paraId="6EBFC8BE">
            <w:pPr>
              <w:keepNext w:val="0"/>
              <w:keepLines w:val="0"/>
              <w:pageBreakBefore w:val="0"/>
              <w:widowControl w:val="0"/>
              <w:kinsoku/>
              <w:overflowPunct/>
              <w:autoSpaceDE/>
              <w:autoSpaceDN/>
              <w:bidi w:val="0"/>
              <w:adjustRightInd/>
              <w:snapToGrid/>
              <w:spacing w:line="540" w:lineRule="exact"/>
              <w:jc w:val="center"/>
              <w:textAlignment w:val="auto"/>
              <w:rPr>
                <w:rFonts w:hint="eastAsia" w:ascii="仿宋" w:hAnsi="仿宋" w:eastAsia="仿宋" w:cs="仿宋"/>
                <w:sz w:val="24"/>
              </w:rPr>
            </w:pPr>
            <w:r>
              <w:rPr>
                <w:rFonts w:hint="eastAsia" w:ascii="仿宋" w:hAnsi="仿宋" w:eastAsia="仿宋" w:cs="仿宋"/>
                <w:sz w:val="24"/>
              </w:rPr>
              <w:t>GB 23350—2021及第1，2号修改单</w:t>
            </w:r>
          </w:p>
        </w:tc>
        <w:tc>
          <w:tcPr>
            <w:tcW w:w="2887" w:type="dxa"/>
            <w:vMerge w:val="restart"/>
            <w:tcBorders>
              <w:top w:val="single" w:color="auto" w:sz="4" w:space="0"/>
              <w:left w:val="single" w:color="auto" w:sz="4" w:space="0"/>
              <w:right w:val="single" w:color="auto" w:sz="4" w:space="0"/>
            </w:tcBorders>
            <w:noWrap w:val="0"/>
            <w:vAlign w:val="center"/>
          </w:tcPr>
          <w:p w14:paraId="17C40A13">
            <w:pPr>
              <w:keepNext w:val="0"/>
              <w:keepLines w:val="0"/>
              <w:pageBreakBefore w:val="0"/>
              <w:widowControl w:val="0"/>
              <w:kinsoku/>
              <w:overflowPunct/>
              <w:autoSpaceDE/>
              <w:autoSpaceDN/>
              <w:bidi w:val="0"/>
              <w:adjustRightInd/>
              <w:snapToGrid/>
              <w:spacing w:line="540" w:lineRule="exact"/>
              <w:jc w:val="center"/>
              <w:textAlignment w:val="auto"/>
              <w:rPr>
                <w:rFonts w:hint="eastAsia" w:ascii="仿宋" w:hAnsi="仿宋" w:eastAsia="仿宋" w:cs="仿宋"/>
                <w:sz w:val="24"/>
              </w:rPr>
            </w:pPr>
            <w:r>
              <w:rPr>
                <w:rFonts w:hint="eastAsia" w:ascii="仿宋" w:hAnsi="仿宋" w:eastAsia="仿宋" w:cs="仿宋"/>
                <w:sz w:val="24"/>
              </w:rPr>
              <w:t>GB 23350—2021及第1，2号修改单</w:t>
            </w:r>
          </w:p>
        </w:tc>
      </w:tr>
      <w:tr w14:paraId="1B87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053C48DF">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2</w:t>
            </w:r>
          </w:p>
        </w:tc>
        <w:tc>
          <w:tcPr>
            <w:tcW w:w="1780" w:type="dxa"/>
            <w:tcBorders>
              <w:top w:val="single" w:color="auto" w:sz="4" w:space="0"/>
              <w:left w:val="single" w:color="auto" w:sz="4" w:space="0"/>
              <w:bottom w:val="single" w:color="auto" w:sz="4" w:space="0"/>
              <w:right w:val="single" w:color="auto" w:sz="4" w:space="0"/>
            </w:tcBorders>
            <w:noWrap w:val="0"/>
            <w:vAlign w:val="center"/>
          </w:tcPr>
          <w:p w14:paraId="1DE8D5B3">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包装层数</w:t>
            </w:r>
          </w:p>
        </w:tc>
        <w:tc>
          <w:tcPr>
            <w:tcW w:w="3310" w:type="dxa"/>
            <w:vMerge w:val="continue"/>
            <w:tcBorders>
              <w:left w:val="single" w:color="auto" w:sz="4" w:space="0"/>
              <w:right w:val="single" w:color="auto" w:sz="4" w:space="0"/>
            </w:tcBorders>
            <w:noWrap w:val="0"/>
            <w:vAlign w:val="center"/>
          </w:tcPr>
          <w:p w14:paraId="674C1582">
            <w:pPr>
              <w:keepNext w:val="0"/>
              <w:keepLines w:val="0"/>
              <w:pageBreakBefore w:val="0"/>
              <w:widowControl w:val="0"/>
              <w:kinsoku/>
              <w:overflowPunct/>
              <w:autoSpaceDE/>
              <w:autoSpaceDN/>
              <w:bidi w:val="0"/>
              <w:adjustRightInd/>
              <w:snapToGrid/>
              <w:spacing w:line="540" w:lineRule="exact"/>
              <w:jc w:val="center"/>
              <w:textAlignment w:val="auto"/>
              <w:rPr>
                <w:rFonts w:hint="eastAsia" w:ascii="仿宋" w:hAnsi="仿宋" w:eastAsia="仿宋" w:cs="仿宋"/>
                <w:sz w:val="24"/>
              </w:rPr>
            </w:pPr>
          </w:p>
        </w:tc>
        <w:tc>
          <w:tcPr>
            <w:tcW w:w="2887" w:type="dxa"/>
            <w:vMerge w:val="continue"/>
            <w:tcBorders>
              <w:left w:val="single" w:color="auto" w:sz="4" w:space="0"/>
              <w:right w:val="single" w:color="auto" w:sz="4" w:space="0"/>
            </w:tcBorders>
            <w:noWrap w:val="0"/>
            <w:vAlign w:val="center"/>
          </w:tcPr>
          <w:p w14:paraId="30A359A3">
            <w:pPr>
              <w:keepNext w:val="0"/>
              <w:keepLines w:val="0"/>
              <w:pageBreakBefore w:val="0"/>
              <w:widowControl w:val="0"/>
              <w:kinsoku/>
              <w:overflowPunct/>
              <w:autoSpaceDE/>
              <w:autoSpaceDN/>
              <w:bidi w:val="0"/>
              <w:adjustRightInd/>
              <w:snapToGrid/>
              <w:spacing w:line="540" w:lineRule="exact"/>
              <w:jc w:val="center"/>
              <w:textAlignment w:val="auto"/>
              <w:rPr>
                <w:rFonts w:hint="eastAsia" w:ascii="仿宋" w:hAnsi="仿宋" w:eastAsia="仿宋" w:cs="仿宋"/>
                <w:sz w:val="24"/>
              </w:rPr>
            </w:pPr>
          </w:p>
        </w:tc>
      </w:tr>
      <w:tr w14:paraId="7890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exac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5D922379">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lang w:eastAsia="zh-CN"/>
              </w:rPr>
            </w:pPr>
            <w:r>
              <w:rPr>
                <w:rFonts w:hint="eastAsia" w:ascii="方正仿宋_GB2312" w:hAnsi="方正仿宋_GB2312" w:eastAsia="方正仿宋_GB2312" w:cs="方正仿宋_GB2312"/>
                <w:sz w:val="24"/>
                <w:lang w:val="en-US" w:eastAsia="zh-CN"/>
              </w:rPr>
              <w:t>3</w:t>
            </w:r>
          </w:p>
        </w:tc>
        <w:tc>
          <w:tcPr>
            <w:tcW w:w="1780" w:type="dxa"/>
            <w:tcBorders>
              <w:top w:val="single" w:color="auto" w:sz="4" w:space="0"/>
              <w:left w:val="single" w:color="auto" w:sz="4" w:space="0"/>
              <w:bottom w:val="single" w:color="auto" w:sz="4" w:space="0"/>
              <w:right w:val="single" w:color="auto" w:sz="4" w:space="0"/>
            </w:tcBorders>
            <w:noWrap w:val="0"/>
            <w:vAlign w:val="center"/>
          </w:tcPr>
          <w:p w14:paraId="607F310E">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混装要求</w:t>
            </w:r>
            <w:r>
              <w:rPr>
                <w:rFonts w:hint="eastAsia" w:ascii="方正仿宋_GB2312" w:hAnsi="方正仿宋_GB2312" w:eastAsia="方正仿宋_GB2312" w:cs="方正仿宋_GB2312"/>
                <w:sz w:val="24"/>
                <w:vertAlign w:val="superscript"/>
                <w:lang w:val="en-US" w:eastAsia="zh-CN"/>
              </w:rPr>
              <w:t>1</w:t>
            </w:r>
          </w:p>
        </w:tc>
        <w:tc>
          <w:tcPr>
            <w:tcW w:w="3310" w:type="dxa"/>
            <w:vMerge w:val="continue"/>
            <w:tcBorders>
              <w:left w:val="single" w:color="auto" w:sz="4" w:space="0"/>
              <w:right w:val="single" w:color="auto" w:sz="4" w:space="0"/>
            </w:tcBorders>
            <w:noWrap w:val="0"/>
            <w:vAlign w:val="center"/>
          </w:tcPr>
          <w:p w14:paraId="0E576121">
            <w:pPr>
              <w:keepNext w:val="0"/>
              <w:keepLines w:val="0"/>
              <w:pageBreakBefore w:val="0"/>
              <w:widowControl w:val="0"/>
              <w:kinsoku/>
              <w:overflowPunct/>
              <w:autoSpaceDE/>
              <w:autoSpaceDN/>
              <w:bidi w:val="0"/>
              <w:adjustRightInd/>
              <w:snapToGrid/>
              <w:spacing w:line="540" w:lineRule="exact"/>
              <w:jc w:val="center"/>
              <w:textAlignment w:val="auto"/>
              <w:rPr>
                <w:rFonts w:hint="eastAsia" w:ascii="仿宋" w:hAnsi="仿宋" w:eastAsia="仿宋" w:cs="仿宋"/>
                <w:sz w:val="24"/>
              </w:rPr>
            </w:pPr>
          </w:p>
        </w:tc>
        <w:tc>
          <w:tcPr>
            <w:tcW w:w="2887" w:type="dxa"/>
            <w:vMerge w:val="continue"/>
            <w:tcBorders>
              <w:left w:val="single" w:color="auto" w:sz="4" w:space="0"/>
              <w:right w:val="single" w:color="auto" w:sz="4" w:space="0"/>
            </w:tcBorders>
            <w:noWrap w:val="0"/>
            <w:vAlign w:val="center"/>
          </w:tcPr>
          <w:p w14:paraId="38FDBFBE">
            <w:pPr>
              <w:keepNext w:val="0"/>
              <w:keepLines w:val="0"/>
              <w:pageBreakBefore w:val="0"/>
              <w:widowControl w:val="0"/>
              <w:kinsoku/>
              <w:overflowPunct/>
              <w:autoSpaceDE/>
              <w:autoSpaceDN/>
              <w:bidi w:val="0"/>
              <w:adjustRightInd/>
              <w:snapToGrid/>
              <w:spacing w:line="540" w:lineRule="exact"/>
              <w:jc w:val="center"/>
              <w:textAlignment w:val="auto"/>
              <w:rPr>
                <w:rFonts w:hint="eastAsia" w:ascii="仿宋" w:hAnsi="仿宋" w:eastAsia="仿宋" w:cs="仿宋"/>
                <w:sz w:val="24"/>
              </w:rPr>
            </w:pPr>
          </w:p>
        </w:tc>
      </w:tr>
      <w:tr w14:paraId="14F8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exact"/>
          <w:jc w:val="center"/>
        </w:trPr>
        <w:tc>
          <w:tcPr>
            <w:tcW w:w="980" w:type="dxa"/>
            <w:tcBorders>
              <w:top w:val="single" w:color="auto" w:sz="4" w:space="0"/>
              <w:left w:val="single" w:color="auto" w:sz="4" w:space="0"/>
              <w:bottom w:val="single" w:color="auto" w:sz="4" w:space="0"/>
              <w:right w:val="single" w:color="auto" w:sz="4" w:space="0"/>
            </w:tcBorders>
            <w:noWrap w:val="0"/>
            <w:vAlign w:val="center"/>
          </w:tcPr>
          <w:p w14:paraId="7DE59606">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4</w:t>
            </w:r>
          </w:p>
        </w:tc>
        <w:tc>
          <w:tcPr>
            <w:tcW w:w="1780" w:type="dxa"/>
            <w:tcBorders>
              <w:top w:val="single" w:color="auto" w:sz="4" w:space="0"/>
              <w:left w:val="single" w:color="auto" w:sz="4" w:space="0"/>
              <w:bottom w:val="single" w:color="auto" w:sz="4" w:space="0"/>
              <w:right w:val="single" w:color="auto" w:sz="4" w:space="0"/>
            </w:tcBorders>
            <w:noWrap w:val="0"/>
            <w:vAlign w:val="center"/>
          </w:tcPr>
          <w:p w14:paraId="6B9E068E">
            <w:pPr>
              <w:keepNext w:val="0"/>
              <w:keepLines w:val="0"/>
              <w:pageBreakBefore w:val="0"/>
              <w:widowControl w:val="0"/>
              <w:kinsoku/>
              <w:overflowPunct/>
              <w:autoSpaceDE/>
              <w:autoSpaceDN/>
              <w:bidi w:val="0"/>
              <w:adjustRightInd/>
              <w:snapToGrid/>
              <w:spacing w:line="540" w:lineRule="exact"/>
              <w:jc w:val="center"/>
              <w:textAlignment w:val="auto"/>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rPr>
              <w:t>商品包装质量</w:t>
            </w:r>
            <w:r>
              <w:rPr>
                <w:rFonts w:hint="eastAsia" w:ascii="方正仿宋_GB2312" w:hAnsi="方正仿宋_GB2312" w:eastAsia="方正仿宋_GB2312" w:cs="方正仿宋_GB2312"/>
                <w:sz w:val="24"/>
                <w:vertAlign w:val="superscript"/>
                <w:lang w:val="en-US" w:eastAsia="zh-CN"/>
              </w:rPr>
              <w:t>2</w:t>
            </w:r>
          </w:p>
        </w:tc>
        <w:tc>
          <w:tcPr>
            <w:tcW w:w="3310" w:type="dxa"/>
            <w:vMerge w:val="continue"/>
            <w:tcBorders>
              <w:left w:val="single" w:color="auto" w:sz="4" w:space="0"/>
              <w:bottom w:val="single" w:color="auto" w:sz="4" w:space="0"/>
              <w:right w:val="single" w:color="auto" w:sz="4" w:space="0"/>
            </w:tcBorders>
            <w:noWrap w:val="0"/>
            <w:vAlign w:val="center"/>
          </w:tcPr>
          <w:p w14:paraId="08DB4C1D">
            <w:pPr>
              <w:keepNext w:val="0"/>
              <w:keepLines w:val="0"/>
              <w:pageBreakBefore w:val="0"/>
              <w:widowControl w:val="0"/>
              <w:kinsoku/>
              <w:overflowPunct/>
              <w:autoSpaceDE/>
              <w:autoSpaceDN/>
              <w:bidi w:val="0"/>
              <w:adjustRightInd/>
              <w:snapToGrid/>
              <w:spacing w:line="540" w:lineRule="exact"/>
              <w:jc w:val="center"/>
              <w:textAlignment w:val="auto"/>
              <w:rPr>
                <w:rFonts w:hint="eastAsia" w:ascii="仿宋" w:hAnsi="仿宋" w:eastAsia="仿宋" w:cs="仿宋"/>
                <w:sz w:val="24"/>
              </w:rPr>
            </w:pPr>
          </w:p>
        </w:tc>
        <w:tc>
          <w:tcPr>
            <w:tcW w:w="2887" w:type="dxa"/>
            <w:vMerge w:val="continue"/>
            <w:tcBorders>
              <w:left w:val="single" w:color="auto" w:sz="4" w:space="0"/>
              <w:bottom w:val="single" w:color="auto" w:sz="4" w:space="0"/>
              <w:right w:val="single" w:color="auto" w:sz="4" w:space="0"/>
            </w:tcBorders>
            <w:noWrap w:val="0"/>
            <w:vAlign w:val="center"/>
          </w:tcPr>
          <w:p w14:paraId="0459ED2F">
            <w:pPr>
              <w:keepNext w:val="0"/>
              <w:keepLines w:val="0"/>
              <w:pageBreakBefore w:val="0"/>
              <w:widowControl w:val="0"/>
              <w:kinsoku/>
              <w:overflowPunct/>
              <w:autoSpaceDE/>
              <w:autoSpaceDN/>
              <w:bidi w:val="0"/>
              <w:adjustRightInd/>
              <w:snapToGrid/>
              <w:spacing w:line="540" w:lineRule="exact"/>
              <w:jc w:val="center"/>
              <w:textAlignment w:val="auto"/>
              <w:rPr>
                <w:rFonts w:hint="eastAsia" w:ascii="仿宋" w:hAnsi="仿宋" w:eastAsia="仿宋" w:cs="仿宋"/>
                <w:sz w:val="24"/>
              </w:rPr>
            </w:pPr>
          </w:p>
        </w:tc>
      </w:tr>
    </w:tbl>
    <w:p w14:paraId="1DCB7E0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28"/>
          <w:szCs w:val="28"/>
        </w:rPr>
      </w:pPr>
      <w:r>
        <w:rPr>
          <w:rFonts w:hint="eastAsia" w:ascii="仿宋" w:hAnsi="仿宋" w:eastAsia="仿宋" w:cs="仿宋"/>
          <w:sz w:val="28"/>
          <w:szCs w:val="28"/>
        </w:rPr>
        <w:t>注</w:t>
      </w: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val="en-US" w:eastAsia="zh-CN"/>
        </w:rPr>
        <w:t>仅考核月饼</w:t>
      </w:r>
      <w:r>
        <w:rPr>
          <w:rFonts w:hint="eastAsia" w:ascii="仿宋" w:hAnsi="仿宋" w:eastAsia="仿宋" w:cs="仿宋"/>
          <w:sz w:val="28"/>
          <w:szCs w:val="28"/>
        </w:rPr>
        <w:t>。</w:t>
      </w:r>
    </w:p>
    <w:p w14:paraId="519CA9E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28"/>
          <w:szCs w:val="28"/>
        </w:rPr>
      </w:pPr>
      <w:r>
        <w:rPr>
          <w:rFonts w:hint="eastAsia" w:ascii="仿宋" w:hAnsi="仿宋" w:eastAsia="仿宋" w:cs="仿宋"/>
          <w:sz w:val="28"/>
          <w:szCs w:val="28"/>
        </w:rPr>
        <w:t>注</w:t>
      </w: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仅考核茶叶</w:t>
      </w:r>
      <w:r>
        <w:rPr>
          <w:rFonts w:hint="eastAsia" w:ascii="仿宋" w:hAnsi="仿宋" w:eastAsia="仿宋" w:cs="仿宋"/>
          <w:sz w:val="28"/>
          <w:szCs w:val="28"/>
        </w:rPr>
        <w:t>。</w:t>
      </w:r>
    </w:p>
    <w:p w14:paraId="48D5CD8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执行企业标准、团体标准、地方标准的产品，检验项目参照上述内容执行。</w:t>
      </w:r>
    </w:p>
    <w:p w14:paraId="0A02297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凡是注日期的文件，其随后所有的修改单（不包括勘误的内容）或修订版不适用于本细则。凡是不注日期的文件，其最新版本适用于本细则。</w:t>
      </w:r>
    </w:p>
    <w:p w14:paraId="429AF16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复检时所检测的样品为备用样品。</w:t>
      </w:r>
    </w:p>
    <w:p w14:paraId="7E20E01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3 判定规则</w:t>
      </w:r>
    </w:p>
    <w:p w14:paraId="2C1CFCB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3.1 依据标准</w:t>
      </w:r>
    </w:p>
    <w:p w14:paraId="09297DA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GB 23350—2021</w:t>
      </w:r>
      <w:r>
        <w:rPr>
          <w:rFonts w:hint="eastAsia" w:ascii="仿宋" w:hAnsi="仿宋" w:eastAsia="仿宋" w:cs="仿宋"/>
          <w:sz w:val="32"/>
          <w:szCs w:val="32"/>
        </w:rPr>
        <w:t>限制商品过度包装要求食品和化妆品（含第1，2号修改单）</w:t>
      </w:r>
    </w:p>
    <w:p w14:paraId="4B74FF3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现行有效的企业标准、团体标准、地方标准及产品明示质量要求</w:t>
      </w:r>
    </w:p>
    <w:p w14:paraId="126F14A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bCs/>
          <w:sz w:val="32"/>
          <w:szCs w:val="32"/>
        </w:rPr>
      </w:pPr>
      <w:r>
        <w:rPr>
          <w:rFonts w:hint="eastAsia" w:ascii="仿宋" w:hAnsi="仿宋" w:eastAsia="仿宋" w:cs="仿宋"/>
          <w:b/>
          <w:bCs/>
          <w:sz w:val="32"/>
          <w:szCs w:val="32"/>
        </w:rPr>
        <w:t>3.2 判定原则</w:t>
      </w:r>
    </w:p>
    <w:p w14:paraId="7DEA677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经检验，检验项目全部合格，判定为被抽查产品所检项目未发现不合格；检验项目中任一项或一项以上不合格，判定为被抽查产品不合格。</w:t>
      </w:r>
    </w:p>
    <w:p w14:paraId="608B8D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若被检产品明示的质量要求高于本细则中检验项目依据的标准要求时，应按被检产品明示的质量要求判定。</w:t>
      </w:r>
    </w:p>
    <w:p w14:paraId="651A821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若被检产品明示的质量要求低于本细则中检验项目依据的强制性标准要求时，应按照强制性标准要求判定。</w:t>
      </w:r>
    </w:p>
    <w:p w14:paraId="4D4930D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32"/>
          <w:szCs w:val="32"/>
        </w:rPr>
        <w:t>若被检产品明示的质量要求缺少本细则中检验项目依据的强制性标准要求时，应按照强制性标准要求判定。</w:t>
      </w:r>
    </w:p>
    <w:p w14:paraId="6D2901B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9FB3F6-AD63-4298-9F38-80B48B5E767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1B88076E-0620-4545-9A0C-B6EC12EEAB3E}"/>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C9A3FD01-FAF5-4FB9-98B5-672ED6472C1B}"/>
  </w:font>
  <w:font w:name="方正小标宋简体">
    <w:panose1 w:val="02000000000000000000"/>
    <w:charset w:val="86"/>
    <w:family w:val="script"/>
    <w:pitch w:val="default"/>
    <w:sig w:usb0="00000001" w:usb1="08000000" w:usb2="00000000" w:usb3="00000000" w:csb0="00040000" w:csb1="00000000"/>
    <w:embedRegular r:id="rId4" w:fontKey="{82250E59-27C9-46CD-ABBC-FED94AC51EB6}"/>
  </w:font>
  <w:font w:name="方正仿宋_GB2312">
    <w:panose1 w:val="02000000000000000000"/>
    <w:charset w:val="86"/>
    <w:family w:val="auto"/>
    <w:pitch w:val="default"/>
    <w:sig w:usb0="A00002BF" w:usb1="184F6CFA" w:usb2="00000012" w:usb3="00000000" w:csb0="00040001" w:csb1="00000000"/>
    <w:embedRegular r:id="rId5" w:fontKey="{6B5F2637-1585-4227-B46C-B1236A8ADE5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5A68CA"/>
    <w:rsid w:val="265E6673"/>
    <w:rsid w:val="2C26487E"/>
    <w:rsid w:val="2FEA3013"/>
    <w:rsid w:val="3663634A"/>
    <w:rsid w:val="625A6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Calibri" w:hAnsi="Calibri" w:cs="宋体"/>
      <w:kern w:val="0"/>
      <w:sz w:val="20"/>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2026-09-17T00:40:00Z</dcterms:created>
  <dc:creator>我是谁</dc:creator>
  <cp:lastModifiedBy>我是谁</cp:lastModifiedBy>
  <dcterms:modified xsi:type="dcterms:W3CDTF">2026-09-17T00:54:28Z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EF3D16F9E5974D1CA38BCB47D29C7145_11</vt:lpwstr>
  </property>
  <property fmtid="{D5CDD505-2E9C-101B-9397-08002B2CF9AE}" pid="4" name="KSOTemplateDocerSaveRecord">
    <vt:lpwstr>eyJoZGlkIjoiZGFhZmY5MDRlNjYzMTUxMjNmNjkxZmI3NmY1Njk3MmYiLCJ1c2VySWQiOiIxMTMwODI2NjcwIn0=</vt:lpwstr>
  </property>
</Properties>
</file>