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63C53">
      <w:pPr>
        <w:spacing w:before="211" w:line="226" w:lineRule="auto"/>
        <w:jc w:val="center"/>
        <w:rPr>
          <w:rFonts w:hint="eastAsia" w:ascii="宋体" w:hAnsi="宋体" w:eastAsia="宋体" w:cs="宋体"/>
          <w:b/>
          <w:bCs/>
          <w:sz w:val="40"/>
          <w:szCs w:val="40"/>
        </w:rPr>
      </w:pPr>
      <w:r>
        <w:rPr>
          <w:rFonts w:hint="eastAsia" w:ascii="宋体" w:hAnsi="宋体" w:eastAsia="宋体" w:cs="宋体"/>
          <w:b/>
          <w:bCs/>
          <w:spacing w:val="9"/>
          <w:sz w:val="40"/>
          <w:szCs w:val="40"/>
          <w:lang w:eastAsia="zh-CN"/>
        </w:rPr>
        <w:t>咸宁市</w:t>
      </w:r>
      <w:r>
        <w:rPr>
          <w:rFonts w:hint="eastAsia" w:ascii="宋体" w:hAnsi="宋体" w:eastAsia="宋体" w:cs="宋体"/>
          <w:b/>
          <w:bCs/>
          <w:spacing w:val="9"/>
          <w:sz w:val="40"/>
          <w:szCs w:val="40"/>
        </w:rPr>
        <w:t>水泥产品质量监督抽查实施细则</w:t>
      </w:r>
    </w:p>
    <w:p w14:paraId="0B9853E5">
      <w:pPr>
        <w:spacing w:line="354" w:lineRule="auto"/>
        <w:jc w:val="center"/>
        <w:rPr>
          <w:rFonts w:ascii="Arial"/>
          <w:b/>
          <w:bCs/>
          <w:sz w:val="40"/>
          <w:szCs w:val="40"/>
        </w:rPr>
      </w:pPr>
      <w:r>
        <w:rPr>
          <w:rFonts w:hint="eastAsia" w:ascii="宋体" w:hAnsi="宋体" w:eastAsia="宋体" w:cs="宋体"/>
          <w:b/>
          <w:bCs/>
          <w:spacing w:val="23"/>
          <w:sz w:val="40"/>
          <w:szCs w:val="40"/>
        </w:rPr>
        <w:t>(</w:t>
      </w:r>
      <w:r>
        <w:rPr>
          <w:rFonts w:hint="eastAsia" w:ascii="宋体" w:hAnsi="宋体" w:eastAsia="宋体" w:cs="宋体"/>
          <w:b/>
          <w:bCs/>
          <w:spacing w:val="19"/>
          <w:sz w:val="40"/>
          <w:szCs w:val="40"/>
        </w:rPr>
        <w:t>202</w:t>
      </w:r>
      <w:r>
        <w:rPr>
          <w:rFonts w:hint="eastAsia" w:ascii="宋体" w:hAnsi="宋体" w:eastAsia="宋体" w:cs="宋体"/>
          <w:b/>
          <w:bCs/>
          <w:spacing w:val="19"/>
          <w:sz w:val="40"/>
          <w:szCs w:val="40"/>
          <w:lang w:val="en-US" w:eastAsia="zh-CN"/>
        </w:rPr>
        <w:t>6</w:t>
      </w:r>
      <w:r>
        <w:rPr>
          <w:rFonts w:hint="eastAsia" w:ascii="宋体" w:hAnsi="宋体" w:eastAsia="宋体" w:cs="宋体"/>
          <w:b/>
          <w:bCs/>
          <w:spacing w:val="19"/>
          <w:sz w:val="40"/>
          <w:szCs w:val="40"/>
        </w:rPr>
        <w:t>年版)</w:t>
      </w:r>
    </w:p>
    <w:p w14:paraId="6BC92D07">
      <w:pPr>
        <w:spacing w:before="2" w:line="406" w:lineRule="auto"/>
        <w:ind w:right="15"/>
        <w:rPr>
          <w:rFonts w:hint="default" w:ascii="Times New Roman" w:hAnsi="Times New Roman" w:eastAsia="宋体" w:cs="Times New Roman"/>
          <w:b/>
          <w:bCs/>
          <w:spacing w:val="7"/>
          <w:sz w:val="28"/>
          <w:szCs w:val="28"/>
        </w:rPr>
      </w:pPr>
      <w:r>
        <w:rPr>
          <w:rFonts w:hint="default" w:ascii="Times New Roman" w:hAnsi="Times New Roman" w:eastAsia="宋体" w:cs="Times New Roman"/>
          <w:b/>
          <w:bCs/>
          <w:spacing w:val="7"/>
          <w:sz w:val="28"/>
          <w:szCs w:val="28"/>
        </w:rPr>
        <w:t>1  抽样方法</w:t>
      </w:r>
    </w:p>
    <w:p w14:paraId="262B9005">
      <w:pPr>
        <w:spacing w:before="2" w:line="406" w:lineRule="auto"/>
        <w:ind w:left="23" w:right="15" w:firstLine="417"/>
        <w:jc w:val="both"/>
        <w:rPr>
          <w:rFonts w:hint="default" w:ascii="Times New Roman" w:hAnsi="Times New Roman" w:eastAsia="宋体" w:cs="Times New Roman"/>
          <w:spacing w:val="7"/>
          <w:sz w:val="28"/>
          <w:szCs w:val="28"/>
        </w:rPr>
      </w:pPr>
      <w:r>
        <w:rPr>
          <w:rFonts w:hint="default" w:ascii="Times New Roman" w:hAnsi="Times New Roman" w:eastAsia="宋体" w:cs="Times New Roman"/>
          <w:spacing w:val="7"/>
          <w:sz w:val="28"/>
          <w:szCs w:val="28"/>
        </w:rPr>
        <w:t>以随机抽样的方式在被抽样生产者、销售者的待销产品中抽取。随机数一般可使用随机数表等方法产生。</w:t>
      </w:r>
    </w:p>
    <w:p w14:paraId="2562C05C">
      <w:pPr>
        <w:spacing w:before="2" w:line="406" w:lineRule="auto"/>
        <w:ind w:left="23" w:right="15" w:firstLine="417"/>
        <w:rPr>
          <w:rFonts w:hint="default" w:ascii="Times New Roman" w:hAnsi="Times New Roman" w:eastAsia="宋体" w:cs="Times New Roman"/>
          <w:spacing w:val="7"/>
          <w:sz w:val="28"/>
          <w:szCs w:val="28"/>
        </w:rPr>
      </w:pPr>
      <w:r>
        <w:rPr>
          <w:rFonts w:hint="default" w:ascii="Times New Roman" w:hAnsi="Times New Roman" w:eastAsia="宋体" w:cs="Times New Roman"/>
          <w:spacing w:val="7"/>
          <w:sz w:val="28"/>
          <w:szCs w:val="28"/>
        </w:rPr>
        <w:t>通用硅酸盐水泥：每批次抽取的样品数量不得少于20kg，将样品均分为两份，每份至少10kg，其中一份为检验样品，另一份为备用样品。其中一份为检验样品，另一份为备用样品。抽样基数满足抽样数量即可。</w:t>
      </w:r>
    </w:p>
    <w:p w14:paraId="3CC29A60">
      <w:pPr>
        <w:spacing w:before="2" w:line="406" w:lineRule="auto"/>
        <w:ind w:left="23" w:right="15" w:firstLine="417"/>
        <w:rPr>
          <w:rFonts w:hint="default" w:ascii="Times New Roman" w:hAnsi="Times New Roman" w:eastAsia="宋体" w:cs="Times New Roman"/>
          <w:spacing w:val="7"/>
          <w:sz w:val="28"/>
          <w:szCs w:val="28"/>
        </w:rPr>
      </w:pPr>
      <w:r>
        <w:rPr>
          <w:rFonts w:hint="default" w:ascii="Times New Roman" w:hAnsi="Times New Roman" w:eastAsia="宋体" w:cs="Times New Roman"/>
          <w:spacing w:val="6"/>
          <w:sz w:val="28"/>
          <w:szCs w:val="28"/>
        </w:rPr>
        <w:t>白色硅酸盐水泥</w:t>
      </w:r>
      <w:r>
        <w:rPr>
          <w:rFonts w:hint="default" w:ascii="Times New Roman" w:hAnsi="Times New Roman" w:eastAsia="宋体" w:cs="Times New Roman"/>
          <w:spacing w:val="7"/>
          <w:sz w:val="28"/>
          <w:szCs w:val="28"/>
        </w:rPr>
        <w:t>：每批次抽取的样品数量不得少于</w:t>
      </w:r>
      <w:r>
        <w:rPr>
          <w:rFonts w:hint="eastAsia" w:ascii="Times New Roman" w:hAnsi="Times New Roman" w:eastAsia="宋体" w:cs="Times New Roman"/>
          <w:spacing w:val="7"/>
          <w:sz w:val="28"/>
          <w:szCs w:val="28"/>
          <w:lang w:val="en-US" w:eastAsia="zh-CN"/>
        </w:rPr>
        <w:t>16</w:t>
      </w:r>
      <w:r>
        <w:rPr>
          <w:rFonts w:hint="default" w:ascii="Times New Roman" w:hAnsi="Times New Roman" w:eastAsia="宋体" w:cs="Times New Roman"/>
          <w:spacing w:val="7"/>
          <w:sz w:val="28"/>
          <w:szCs w:val="28"/>
        </w:rPr>
        <w:t>kg，将样品均分为两份，每份至少</w:t>
      </w:r>
      <w:r>
        <w:rPr>
          <w:rFonts w:hint="eastAsia" w:ascii="Times New Roman" w:hAnsi="Times New Roman" w:eastAsia="宋体" w:cs="Times New Roman"/>
          <w:spacing w:val="7"/>
          <w:sz w:val="28"/>
          <w:szCs w:val="28"/>
          <w:lang w:val="en-US" w:eastAsia="zh-CN"/>
        </w:rPr>
        <w:t>8</w:t>
      </w:r>
      <w:r>
        <w:rPr>
          <w:rFonts w:hint="default" w:ascii="Times New Roman" w:hAnsi="Times New Roman" w:eastAsia="宋体" w:cs="Times New Roman"/>
          <w:spacing w:val="7"/>
          <w:sz w:val="28"/>
          <w:szCs w:val="28"/>
        </w:rPr>
        <w:t>kg，其中一份为检验样品，另一份为备用样品。其中一份为检验样品，另一份为备用样品。</w:t>
      </w:r>
    </w:p>
    <w:p w14:paraId="34E8E4FD">
      <w:pPr>
        <w:spacing w:before="2" w:line="406" w:lineRule="auto"/>
        <w:ind w:left="23" w:right="15" w:firstLine="417"/>
        <w:rPr>
          <w:rFonts w:hint="default" w:ascii="Times New Roman" w:hAnsi="Times New Roman" w:eastAsia="宋体" w:cs="Times New Roman"/>
          <w:spacing w:val="7"/>
          <w:sz w:val="28"/>
          <w:szCs w:val="28"/>
        </w:rPr>
      </w:pPr>
      <w:r>
        <w:rPr>
          <w:rFonts w:hint="default" w:ascii="Times New Roman" w:hAnsi="Times New Roman" w:eastAsia="宋体" w:cs="Times New Roman"/>
          <w:spacing w:val="7"/>
          <w:sz w:val="28"/>
          <w:szCs w:val="28"/>
        </w:rPr>
        <w:t>抽样基数满足抽样数量即可。</w:t>
      </w:r>
    </w:p>
    <w:p w14:paraId="7D8CFFA2">
      <w:pPr>
        <w:spacing w:before="2" w:line="406" w:lineRule="auto"/>
        <w:ind w:right="15"/>
        <w:rPr>
          <w:rFonts w:hint="default" w:ascii="Times New Roman" w:hAnsi="Times New Roman" w:eastAsia="宋体" w:cs="Times New Roman"/>
          <w:b/>
          <w:bCs/>
          <w:spacing w:val="6"/>
          <w:sz w:val="28"/>
          <w:szCs w:val="28"/>
        </w:rPr>
      </w:pPr>
      <w:r>
        <w:rPr>
          <w:rFonts w:hint="default" w:ascii="Times New Roman" w:hAnsi="Times New Roman" w:eastAsia="宋体" w:cs="Times New Roman"/>
          <w:b/>
          <w:bCs/>
          <w:spacing w:val="6"/>
          <w:sz w:val="28"/>
          <w:szCs w:val="28"/>
        </w:rPr>
        <w:t>2  检验依据</w:t>
      </w:r>
    </w:p>
    <w:p w14:paraId="7DA53C54">
      <w:pPr>
        <w:spacing w:before="2" w:line="406" w:lineRule="auto"/>
        <w:ind w:right="15"/>
        <w:jc w:val="center"/>
        <w:rPr>
          <w:rFonts w:hint="default" w:ascii="Times New Roman" w:hAnsi="Times New Roman" w:eastAsia="宋体" w:cs="Times New Roman"/>
          <w:sz w:val="24"/>
          <w:szCs w:val="24"/>
        </w:rPr>
      </w:pPr>
      <w:r>
        <w:rPr>
          <w:rFonts w:hint="default" w:ascii="Times New Roman" w:hAnsi="Times New Roman" w:eastAsia="宋体" w:cs="Times New Roman"/>
          <w:spacing w:val="4"/>
          <w:sz w:val="28"/>
          <w:szCs w:val="28"/>
        </w:rPr>
        <w:t xml:space="preserve">表 1 </w:t>
      </w:r>
      <w:r>
        <w:rPr>
          <w:rFonts w:hint="default" w:ascii="Times New Roman" w:hAnsi="Times New Roman" w:eastAsia="宋体" w:cs="Times New Roman"/>
          <w:spacing w:val="2"/>
          <w:sz w:val="28"/>
          <w:szCs w:val="28"/>
        </w:rPr>
        <w:t xml:space="preserve"> 通用硅酸盐水泥</w:t>
      </w:r>
    </w:p>
    <w:p w14:paraId="0EC85C54">
      <w:pPr>
        <w:spacing w:line="19" w:lineRule="exact"/>
        <w:rPr>
          <w:rFonts w:hint="default" w:ascii="Times New Roman" w:hAnsi="Times New Roman" w:eastAsia="宋体" w:cs="Times New Roman"/>
          <w:sz w:val="24"/>
          <w:szCs w:val="24"/>
        </w:rPr>
      </w:pPr>
    </w:p>
    <w:tbl>
      <w:tblPr>
        <w:tblStyle w:val="4"/>
        <w:tblW w:w="8485"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9"/>
        <w:gridCol w:w="3408"/>
        <w:gridCol w:w="2019"/>
        <w:gridCol w:w="2019"/>
      </w:tblGrid>
      <w:tr w14:paraId="39F1B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39" w:type="dxa"/>
            <w:noWrap w:val="0"/>
            <w:vAlign w:val="top"/>
          </w:tcPr>
          <w:p w14:paraId="5119CE3D">
            <w:pPr>
              <w:spacing w:before="177" w:line="230" w:lineRule="auto"/>
              <w:ind w:left="314"/>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5"/>
                <w:sz w:val="24"/>
                <w:szCs w:val="24"/>
              </w:rPr>
              <w:t>序号</w:t>
            </w:r>
          </w:p>
        </w:tc>
        <w:tc>
          <w:tcPr>
            <w:tcW w:w="3408" w:type="dxa"/>
            <w:noWrap w:val="0"/>
            <w:vAlign w:val="top"/>
          </w:tcPr>
          <w:p w14:paraId="792C9C20">
            <w:pPr>
              <w:spacing w:before="177" w:line="228" w:lineRule="auto"/>
              <w:ind w:left="1289"/>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8"/>
                <w:sz w:val="24"/>
                <w:szCs w:val="24"/>
              </w:rPr>
              <w:t>检</w:t>
            </w:r>
            <w:r>
              <w:rPr>
                <w:rFonts w:hint="default" w:ascii="Times New Roman" w:hAnsi="Times New Roman" w:eastAsia="宋体" w:cs="Times New Roman"/>
                <w:b/>
                <w:bCs/>
                <w:spacing w:val="7"/>
                <w:sz w:val="24"/>
                <w:szCs w:val="24"/>
              </w:rPr>
              <w:t>验项目</w:t>
            </w:r>
          </w:p>
        </w:tc>
        <w:tc>
          <w:tcPr>
            <w:tcW w:w="2019" w:type="dxa"/>
            <w:noWrap w:val="0"/>
            <w:vAlign w:val="top"/>
          </w:tcPr>
          <w:p w14:paraId="03C1C577">
            <w:pPr>
              <w:spacing w:before="177" w:line="228" w:lineRule="auto"/>
              <w:jc w:val="center"/>
              <w:rPr>
                <w:rFonts w:hint="eastAsia" w:ascii="Times New Roman" w:hAnsi="Times New Roman" w:eastAsia="宋体" w:cs="Times New Roman"/>
                <w:b/>
                <w:bCs/>
                <w:spacing w:val="8"/>
                <w:sz w:val="24"/>
                <w:szCs w:val="24"/>
                <w:lang w:eastAsia="zh-CN"/>
              </w:rPr>
            </w:pPr>
            <w:r>
              <w:rPr>
                <w:rFonts w:hint="eastAsia" w:ascii="Times New Roman" w:hAnsi="Times New Roman" w:eastAsia="宋体" w:cs="Times New Roman"/>
                <w:b/>
                <w:bCs/>
                <w:spacing w:val="8"/>
                <w:sz w:val="24"/>
                <w:szCs w:val="24"/>
                <w:lang w:eastAsia="zh-CN"/>
              </w:rPr>
              <w:t>检验依据</w:t>
            </w:r>
          </w:p>
        </w:tc>
        <w:tc>
          <w:tcPr>
            <w:tcW w:w="2019" w:type="dxa"/>
            <w:noWrap w:val="0"/>
            <w:vAlign w:val="top"/>
          </w:tcPr>
          <w:p w14:paraId="390D33EC">
            <w:pPr>
              <w:spacing w:before="177" w:line="228"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8"/>
                <w:sz w:val="24"/>
                <w:szCs w:val="24"/>
              </w:rPr>
              <w:t>检</w:t>
            </w:r>
            <w:r>
              <w:rPr>
                <w:rFonts w:hint="default" w:ascii="Times New Roman" w:hAnsi="Times New Roman" w:eastAsia="宋体" w:cs="Times New Roman"/>
                <w:b/>
                <w:bCs/>
                <w:spacing w:val="7"/>
                <w:sz w:val="24"/>
                <w:szCs w:val="24"/>
              </w:rPr>
              <w:t>验方法</w:t>
            </w:r>
          </w:p>
        </w:tc>
      </w:tr>
      <w:tr w14:paraId="7BE63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39" w:type="dxa"/>
            <w:noWrap w:val="0"/>
            <w:vAlign w:val="top"/>
          </w:tcPr>
          <w:p w14:paraId="7A4D8A27">
            <w:pPr>
              <w:spacing w:before="160" w:line="195" w:lineRule="auto"/>
              <w:ind w:left="48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p>
        </w:tc>
        <w:tc>
          <w:tcPr>
            <w:tcW w:w="3408" w:type="dxa"/>
            <w:noWrap w:val="0"/>
            <w:vAlign w:val="top"/>
          </w:tcPr>
          <w:p w14:paraId="477324A6">
            <w:pPr>
              <w:spacing w:before="121" w:line="228" w:lineRule="auto"/>
              <w:ind w:left="1289"/>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三</w:t>
            </w:r>
            <w:r>
              <w:rPr>
                <w:rFonts w:hint="default" w:ascii="Times New Roman" w:hAnsi="Times New Roman" w:eastAsia="宋体" w:cs="Times New Roman"/>
                <w:spacing w:val="7"/>
                <w:sz w:val="24"/>
                <w:szCs w:val="24"/>
              </w:rPr>
              <w:t>氧化硫</w:t>
            </w:r>
          </w:p>
        </w:tc>
        <w:tc>
          <w:tcPr>
            <w:tcW w:w="2019" w:type="dxa"/>
            <w:vMerge w:val="restart"/>
            <w:noWrap w:val="0"/>
            <w:vAlign w:val="center"/>
          </w:tcPr>
          <w:p w14:paraId="271587BC">
            <w:pPr>
              <w:spacing w:before="121" w:line="228" w:lineRule="auto"/>
              <w:jc w:val="center"/>
              <w:rPr>
                <w:rFonts w:hint="default" w:ascii="Times New Roman" w:hAnsi="Times New Roman" w:eastAsia="宋体" w:cs="Times New Roman"/>
                <w:spacing w:val="8"/>
                <w:sz w:val="24"/>
                <w:szCs w:val="24"/>
                <w:lang w:val="en-US" w:eastAsia="zh-CN"/>
              </w:rPr>
            </w:pPr>
            <w:r>
              <w:rPr>
                <w:rFonts w:hint="default" w:ascii="Times New Roman" w:hAnsi="Times New Roman" w:eastAsia="宋体" w:cs="Times New Roman"/>
                <w:position w:val="1"/>
                <w:sz w:val="24"/>
                <w:szCs w:val="24"/>
              </w:rPr>
              <w:t>GB</w:t>
            </w:r>
            <w:r>
              <w:rPr>
                <w:rFonts w:hint="default" w:ascii="Times New Roman" w:hAnsi="Times New Roman" w:eastAsia="宋体" w:cs="Times New Roman"/>
                <w:spacing w:val="5"/>
                <w:position w:val="1"/>
                <w:sz w:val="24"/>
                <w:szCs w:val="24"/>
              </w:rPr>
              <w:t xml:space="preserve"> 17</w:t>
            </w:r>
            <w:r>
              <w:rPr>
                <w:rFonts w:hint="eastAsia" w:ascii="Times New Roman" w:hAnsi="Times New Roman" w:eastAsia="宋体" w:cs="Times New Roman"/>
                <w:spacing w:val="5"/>
                <w:position w:val="1"/>
                <w:sz w:val="24"/>
                <w:szCs w:val="24"/>
                <w:lang w:val="en-US" w:eastAsia="zh-CN"/>
              </w:rPr>
              <w:t>5</w:t>
            </w:r>
            <w:r>
              <w:rPr>
                <w:rFonts w:hint="default" w:ascii="Times New Roman" w:hAnsi="Times New Roman" w:eastAsia="宋体" w:cs="Times New Roman"/>
                <w:spacing w:val="5"/>
                <w:position w:val="1"/>
                <w:sz w:val="24"/>
                <w:szCs w:val="24"/>
              </w:rPr>
              <w:t>-20</w:t>
            </w:r>
            <w:r>
              <w:rPr>
                <w:rFonts w:hint="eastAsia" w:ascii="Times New Roman" w:hAnsi="Times New Roman" w:eastAsia="宋体" w:cs="Times New Roman"/>
                <w:spacing w:val="5"/>
                <w:position w:val="1"/>
                <w:sz w:val="24"/>
                <w:szCs w:val="24"/>
                <w:lang w:val="en-US" w:eastAsia="zh-CN"/>
              </w:rPr>
              <w:t>23</w:t>
            </w:r>
          </w:p>
        </w:tc>
        <w:tc>
          <w:tcPr>
            <w:tcW w:w="2019" w:type="dxa"/>
            <w:vMerge w:val="restart"/>
            <w:tcBorders>
              <w:bottom w:val="nil"/>
            </w:tcBorders>
            <w:noWrap w:val="0"/>
            <w:vAlign w:val="center"/>
          </w:tcPr>
          <w:p w14:paraId="6254C8F6">
            <w:pPr>
              <w:spacing w:before="57" w:line="275" w:lineRule="exact"/>
              <w:jc w:val="center"/>
              <w:rPr>
                <w:rFonts w:hint="default" w:ascii="Times New Roman" w:hAnsi="Times New Roman" w:eastAsia="宋体" w:cs="Times New Roman"/>
                <w:spacing w:val="5"/>
                <w:position w:val="1"/>
                <w:sz w:val="24"/>
                <w:szCs w:val="24"/>
              </w:rPr>
            </w:pPr>
            <w:r>
              <w:rPr>
                <w:rFonts w:hint="default" w:ascii="Times New Roman" w:hAnsi="Times New Roman" w:eastAsia="宋体" w:cs="Times New Roman"/>
                <w:position w:val="1"/>
                <w:sz w:val="24"/>
                <w:szCs w:val="24"/>
              </w:rPr>
              <w:t>GB</w:t>
            </w:r>
            <w:r>
              <w:rPr>
                <w:rFonts w:hint="default" w:ascii="Times New Roman" w:hAnsi="Times New Roman" w:eastAsia="宋体" w:cs="Times New Roman"/>
                <w:spacing w:val="8"/>
                <w:position w:val="1"/>
                <w:sz w:val="24"/>
                <w:szCs w:val="24"/>
              </w:rPr>
              <w:t>/</w:t>
            </w:r>
            <w:r>
              <w:rPr>
                <w:rFonts w:hint="default" w:ascii="Times New Roman" w:hAnsi="Times New Roman" w:eastAsia="宋体" w:cs="Times New Roman"/>
                <w:position w:val="1"/>
                <w:sz w:val="24"/>
                <w:szCs w:val="24"/>
              </w:rPr>
              <w:t>T</w:t>
            </w:r>
            <w:r>
              <w:rPr>
                <w:rFonts w:hint="default" w:ascii="Times New Roman" w:hAnsi="Times New Roman" w:eastAsia="宋体" w:cs="Times New Roman"/>
                <w:spacing w:val="5"/>
                <w:position w:val="1"/>
                <w:sz w:val="24"/>
                <w:szCs w:val="24"/>
              </w:rPr>
              <w:t xml:space="preserve"> 176-2017</w:t>
            </w:r>
          </w:p>
          <w:p w14:paraId="774CFEF4">
            <w:pPr>
              <w:spacing w:before="57" w:line="275" w:lineRule="exact"/>
              <w:jc w:val="center"/>
              <w:rPr>
                <w:rFonts w:hint="default" w:ascii="Times New Roman" w:hAnsi="Times New Roman" w:eastAsia="宋体" w:cs="Times New Roman"/>
                <w:spacing w:val="5"/>
                <w:position w:val="1"/>
                <w:sz w:val="24"/>
                <w:szCs w:val="24"/>
                <w:lang w:val="en-US" w:eastAsia="zh-CN"/>
              </w:rPr>
            </w:pPr>
            <w:r>
              <w:rPr>
                <w:rFonts w:hint="default" w:ascii="Times New Roman" w:hAnsi="Times New Roman" w:eastAsia="宋体" w:cs="Times New Roman"/>
                <w:position w:val="1"/>
                <w:sz w:val="24"/>
                <w:szCs w:val="24"/>
              </w:rPr>
              <w:t>GB</w:t>
            </w:r>
            <w:r>
              <w:rPr>
                <w:rFonts w:hint="default" w:ascii="Times New Roman" w:hAnsi="Times New Roman" w:eastAsia="宋体" w:cs="Times New Roman"/>
                <w:spacing w:val="8"/>
                <w:position w:val="1"/>
                <w:sz w:val="24"/>
                <w:szCs w:val="24"/>
              </w:rPr>
              <w:t>/</w:t>
            </w:r>
            <w:r>
              <w:rPr>
                <w:rFonts w:hint="default" w:ascii="Times New Roman" w:hAnsi="Times New Roman" w:eastAsia="宋体" w:cs="Times New Roman"/>
                <w:position w:val="1"/>
                <w:sz w:val="24"/>
                <w:szCs w:val="24"/>
              </w:rPr>
              <w:t>T</w:t>
            </w:r>
            <w:r>
              <w:rPr>
                <w:rFonts w:hint="default" w:ascii="Times New Roman" w:hAnsi="Times New Roman" w:eastAsia="宋体" w:cs="Times New Roman"/>
                <w:spacing w:val="5"/>
                <w:position w:val="1"/>
                <w:sz w:val="24"/>
                <w:szCs w:val="24"/>
              </w:rPr>
              <w:t xml:space="preserve"> 176-20</w:t>
            </w:r>
            <w:r>
              <w:rPr>
                <w:rFonts w:hint="eastAsia" w:ascii="Times New Roman" w:hAnsi="Times New Roman" w:eastAsia="宋体" w:cs="Times New Roman"/>
                <w:spacing w:val="5"/>
                <w:position w:val="1"/>
                <w:sz w:val="24"/>
                <w:szCs w:val="24"/>
                <w:lang w:val="en-US" w:eastAsia="zh-CN"/>
              </w:rPr>
              <w:t>25</w:t>
            </w:r>
          </w:p>
        </w:tc>
      </w:tr>
      <w:tr w14:paraId="6001B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39" w:type="dxa"/>
            <w:noWrap w:val="0"/>
            <w:vAlign w:val="top"/>
          </w:tcPr>
          <w:p w14:paraId="3DA1F993">
            <w:pPr>
              <w:spacing w:before="160" w:line="195" w:lineRule="auto"/>
              <w:ind w:left="46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p>
        </w:tc>
        <w:tc>
          <w:tcPr>
            <w:tcW w:w="3408" w:type="dxa"/>
            <w:noWrap w:val="0"/>
            <w:vAlign w:val="top"/>
          </w:tcPr>
          <w:p w14:paraId="0C69BCDD">
            <w:pPr>
              <w:spacing w:before="123" w:line="228" w:lineRule="auto"/>
              <w:ind w:left="1393"/>
              <w:rPr>
                <w:rFonts w:hint="default" w:ascii="Times New Roman" w:hAnsi="Times New Roman" w:eastAsia="宋体" w:cs="Times New Roman"/>
                <w:sz w:val="24"/>
                <w:szCs w:val="24"/>
              </w:rPr>
            </w:pPr>
            <w:r>
              <w:rPr>
                <w:rFonts w:hint="default" w:ascii="Times New Roman" w:hAnsi="Times New Roman" w:eastAsia="宋体" w:cs="Times New Roman"/>
                <w:spacing w:val="7"/>
                <w:sz w:val="24"/>
                <w:szCs w:val="24"/>
              </w:rPr>
              <w:t>氧</w:t>
            </w:r>
            <w:r>
              <w:rPr>
                <w:rFonts w:hint="default" w:ascii="Times New Roman" w:hAnsi="Times New Roman" w:eastAsia="宋体" w:cs="Times New Roman"/>
                <w:spacing w:val="6"/>
                <w:sz w:val="24"/>
                <w:szCs w:val="24"/>
              </w:rPr>
              <w:t>化镁</w:t>
            </w:r>
          </w:p>
        </w:tc>
        <w:tc>
          <w:tcPr>
            <w:tcW w:w="2019" w:type="dxa"/>
            <w:vMerge w:val="continue"/>
            <w:noWrap w:val="0"/>
            <w:vAlign w:val="top"/>
          </w:tcPr>
          <w:p w14:paraId="457D3803">
            <w:pPr>
              <w:spacing w:before="123" w:line="228" w:lineRule="auto"/>
              <w:ind w:left="1393"/>
              <w:rPr>
                <w:rFonts w:hint="default" w:ascii="Times New Roman" w:hAnsi="Times New Roman" w:eastAsia="宋体" w:cs="Times New Roman"/>
                <w:spacing w:val="7"/>
                <w:sz w:val="24"/>
                <w:szCs w:val="24"/>
              </w:rPr>
            </w:pPr>
          </w:p>
        </w:tc>
        <w:tc>
          <w:tcPr>
            <w:tcW w:w="2019" w:type="dxa"/>
            <w:vMerge w:val="continue"/>
            <w:tcBorders>
              <w:top w:val="nil"/>
              <w:bottom w:val="nil"/>
            </w:tcBorders>
            <w:noWrap w:val="0"/>
            <w:vAlign w:val="center"/>
          </w:tcPr>
          <w:p w14:paraId="4E3DDA68">
            <w:pPr>
              <w:jc w:val="center"/>
              <w:rPr>
                <w:rFonts w:hint="default" w:ascii="Times New Roman" w:hAnsi="Times New Roman" w:eastAsia="宋体" w:cs="Times New Roman"/>
                <w:sz w:val="24"/>
                <w:szCs w:val="24"/>
              </w:rPr>
            </w:pPr>
          </w:p>
        </w:tc>
      </w:tr>
      <w:tr w14:paraId="44301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39" w:type="dxa"/>
            <w:noWrap w:val="0"/>
            <w:vAlign w:val="top"/>
          </w:tcPr>
          <w:p w14:paraId="2AB345CA">
            <w:pPr>
              <w:spacing w:before="159" w:line="195" w:lineRule="auto"/>
              <w:ind w:left="473"/>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w:t>
            </w:r>
          </w:p>
        </w:tc>
        <w:tc>
          <w:tcPr>
            <w:tcW w:w="3408" w:type="dxa"/>
            <w:noWrap w:val="0"/>
            <w:vAlign w:val="top"/>
          </w:tcPr>
          <w:p w14:paraId="21E96034">
            <w:pPr>
              <w:spacing w:before="123" w:line="228" w:lineRule="auto"/>
              <w:ind w:left="1392"/>
              <w:rPr>
                <w:rFonts w:hint="default" w:ascii="Times New Roman" w:hAnsi="Times New Roman" w:eastAsia="宋体" w:cs="Times New Roman"/>
                <w:sz w:val="24"/>
                <w:szCs w:val="24"/>
              </w:rPr>
            </w:pPr>
            <w:r>
              <w:rPr>
                <w:rFonts w:hint="default" w:ascii="Times New Roman" w:hAnsi="Times New Roman" w:eastAsia="宋体" w:cs="Times New Roman"/>
                <w:spacing w:val="7"/>
                <w:sz w:val="24"/>
                <w:szCs w:val="24"/>
              </w:rPr>
              <w:t>烧失量</w:t>
            </w:r>
          </w:p>
        </w:tc>
        <w:tc>
          <w:tcPr>
            <w:tcW w:w="2019" w:type="dxa"/>
            <w:vMerge w:val="continue"/>
            <w:noWrap w:val="0"/>
            <w:vAlign w:val="top"/>
          </w:tcPr>
          <w:p w14:paraId="2D3D20E0">
            <w:pPr>
              <w:spacing w:before="123" w:line="228" w:lineRule="auto"/>
              <w:ind w:left="1392"/>
              <w:rPr>
                <w:rFonts w:hint="default" w:ascii="Times New Roman" w:hAnsi="Times New Roman" w:eastAsia="宋体" w:cs="Times New Roman"/>
                <w:spacing w:val="7"/>
                <w:sz w:val="24"/>
                <w:szCs w:val="24"/>
              </w:rPr>
            </w:pPr>
          </w:p>
        </w:tc>
        <w:tc>
          <w:tcPr>
            <w:tcW w:w="2019" w:type="dxa"/>
            <w:vMerge w:val="continue"/>
            <w:tcBorders>
              <w:top w:val="nil"/>
              <w:bottom w:val="nil"/>
            </w:tcBorders>
            <w:noWrap w:val="0"/>
            <w:vAlign w:val="center"/>
          </w:tcPr>
          <w:p w14:paraId="187FCAA5">
            <w:pPr>
              <w:jc w:val="center"/>
              <w:rPr>
                <w:rFonts w:hint="default" w:ascii="Times New Roman" w:hAnsi="Times New Roman" w:eastAsia="宋体" w:cs="Times New Roman"/>
                <w:sz w:val="24"/>
                <w:szCs w:val="24"/>
              </w:rPr>
            </w:pPr>
          </w:p>
        </w:tc>
      </w:tr>
      <w:tr w14:paraId="33D974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39" w:type="dxa"/>
            <w:noWrap w:val="0"/>
            <w:vAlign w:val="top"/>
          </w:tcPr>
          <w:p w14:paraId="7F35A868">
            <w:pPr>
              <w:spacing w:before="161" w:line="195" w:lineRule="auto"/>
              <w:ind w:left="468"/>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4</w:t>
            </w:r>
          </w:p>
        </w:tc>
        <w:tc>
          <w:tcPr>
            <w:tcW w:w="3408" w:type="dxa"/>
            <w:noWrap w:val="0"/>
            <w:vAlign w:val="top"/>
          </w:tcPr>
          <w:p w14:paraId="3A997BA9">
            <w:pPr>
              <w:spacing w:before="122" w:line="230" w:lineRule="auto"/>
              <w:ind w:left="1396"/>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不溶</w:t>
            </w:r>
            <w:r>
              <w:rPr>
                <w:rFonts w:hint="default" w:ascii="Times New Roman" w:hAnsi="Times New Roman" w:eastAsia="宋体" w:cs="Times New Roman"/>
                <w:spacing w:val="5"/>
                <w:sz w:val="24"/>
                <w:szCs w:val="24"/>
              </w:rPr>
              <w:t>物</w:t>
            </w:r>
          </w:p>
        </w:tc>
        <w:tc>
          <w:tcPr>
            <w:tcW w:w="2019" w:type="dxa"/>
            <w:vMerge w:val="continue"/>
            <w:noWrap w:val="0"/>
            <w:vAlign w:val="top"/>
          </w:tcPr>
          <w:p w14:paraId="21516C75">
            <w:pPr>
              <w:spacing w:before="122" w:line="230" w:lineRule="auto"/>
              <w:ind w:left="1396"/>
              <w:rPr>
                <w:rFonts w:hint="default" w:ascii="Times New Roman" w:hAnsi="Times New Roman" w:eastAsia="宋体" w:cs="Times New Roman"/>
                <w:spacing w:val="6"/>
                <w:sz w:val="24"/>
                <w:szCs w:val="24"/>
              </w:rPr>
            </w:pPr>
          </w:p>
        </w:tc>
        <w:tc>
          <w:tcPr>
            <w:tcW w:w="2019" w:type="dxa"/>
            <w:vMerge w:val="continue"/>
            <w:tcBorders>
              <w:top w:val="nil"/>
              <w:bottom w:val="nil"/>
            </w:tcBorders>
            <w:noWrap w:val="0"/>
            <w:vAlign w:val="center"/>
          </w:tcPr>
          <w:p w14:paraId="5CF01544">
            <w:pPr>
              <w:jc w:val="center"/>
              <w:rPr>
                <w:rFonts w:hint="default" w:ascii="Times New Roman" w:hAnsi="Times New Roman" w:eastAsia="宋体" w:cs="Times New Roman"/>
                <w:sz w:val="24"/>
                <w:szCs w:val="24"/>
              </w:rPr>
            </w:pPr>
          </w:p>
        </w:tc>
      </w:tr>
      <w:tr w14:paraId="55E888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39" w:type="dxa"/>
            <w:tcBorders>
              <w:bottom w:val="single" w:color="auto" w:sz="4" w:space="0"/>
            </w:tcBorders>
            <w:noWrap w:val="0"/>
            <w:vAlign w:val="top"/>
          </w:tcPr>
          <w:p w14:paraId="026D0A8B">
            <w:pPr>
              <w:spacing w:before="164" w:line="192" w:lineRule="auto"/>
              <w:ind w:left="47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w:t>
            </w:r>
          </w:p>
        </w:tc>
        <w:tc>
          <w:tcPr>
            <w:tcW w:w="3408" w:type="dxa"/>
            <w:tcBorders>
              <w:bottom w:val="single" w:color="auto" w:sz="4" w:space="0"/>
            </w:tcBorders>
            <w:noWrap w:val="0"/>
            <w:vAlign w:val="top"/>
          </w:tcPr>
          <w:p w14:paraId="4CA681BA">
            <w:pPr>
              <w:spacing w:before="125" w:line="228" w:lineRule="auto"/>
              <w:ind w:left="1396"/>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氯离</w:t>
            </w:r>
            <w:r>
              <w:rPr>
                <w:rFonts w:hint="default" w:ascii="Times New Roman" w:hAnsi="Times New Roman" w:eastAsia="宋体" w:cs="Times New Roman"/>
                <w:spacing w:val="5"/>
                <w:sz w:val="24"/>
                <w:szCs w:val="24"/>
              </w:rPr>
              <w:t>子</w:t>
            </w:r>
          </w:p>
        </w:tc>
        <w:tc>
          <w:tcPr>
            <w:tcW w:w="2019" w:type="dxa"/>
            <w:vMerge w:val="continue"/>
            <w:tcBorders>
              <w:bottom w:val="single" w:color="auto" w:sz="4" w:space="0"/>
            </w:tcBorders>
            <w:noWrap w:val="0"/>
            <w:vAlign w:val="top"/>
          </w:tcPr>
          <w:p w14:paraId="2F8D4633">
            <w:pPr>
              <w:spacing w:before="125" w:line="228" w:lineRule="auto"/>
              <w:ind w:left="1396"/>
              <w:rPr>
                <w:rFonts w:hint="default" w:ascii="Times New Roman" w:hAnsi="Times New Roman" w:eastAsia="宋体" w:cs="Times New Roman"/>
                <w:spacing w:val="6"/>
                <w:sz w:val="24"/>
                <w:szCs w:val="24"/>
              </w:rPr>
            </w:pPr>
          </w:p>
        </w:tc>
        <w:tc>
          <w:tcPr>
            <w:tcW w:w="2019" w:type="dxa"/>
            <w:vMerge w:val="continue"/>
            <w:tcBorders>
              <w:top w:val="nil"/>
              <w:bottom w:val="single" w:color="auto" w:sz="4" w:space="0"/>
            </w:tcBorders>
            <w:noWrap w:val="0"/>
            <w:vAlign w:val="center"/>
          </w:tcPr>
          <w:p w14:paraId="18DD4870">
            <w:pPr>
              <w:jc w:val="center"/>
              <w:rPr>
                <w:rFonts w:hint="default" w:ascii="Times New Roman" w:hAnsi="Times New Roman" w:eastAsia="宋体" w:cs="Times New Roman"/>
                <w:sz w:val="24"/>
                <w:szCs w:val="24"/>
              </w:rPr>
            </w:pPr>
          </w:p>
        </w:tc>
      </w:tr>
      <w:tr w14:paraId="1B569E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039" w:type="dxa"/>
            <w:tcBorders>
              <w:top w:val="single" w:color="auto" w:sz="4" w:space="0"/>
              <w:left w:val="single" w:color="auto" w:sz="4" w:space="0"/>
              <w:bottom w:val="single" w:color="auto" w:sz="4" w:space="0"/>
              <w:right w:val="single" w:color="auto" w:sz="4" w:space="0"/>
            </w:tcBorders>
            <w:noWrap w:val="0"/>
            <w:vAlign w:val="top"/>
          </w:tcPr>
          <w:p w14:paraId="714A7751">
            <w:pPr>
              <w:spacing w:before="160" w:line="195" w:lineRule="auto"/>
              <w:ind w:left="474"/>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w:t>
            </w:r>
          </w:p>
        </w:tc>
        <w:tc>
          <w:tcPr>
            <w:tcW w:w="3408" w:type="dxa"/>
            <w:tcBorders>
              <w:top w:val="single" w:color="auto" w:sz="4" w:space="0"/>
              <w:left w:val="single" w:color="auto" w:sz="4" w:space="0"/>
              <w:bottom w:val="single" w:color="auto" w:sz="4" w:space="0"/>
              <w:right w:val="single" w:color="auto" w:sz="4" w:space="0"/>
            </w:tcBorders>
            <w:noWrap w:val="0"/>
            <w:vAlign w:val="center"/>
          </w:tcPr>
          <w:p w14:paraId="686E4D45">
            <w:pPr>
              <w:spacing w:before="124" w:line="230" w:lineRule="auto"/>
              <w:ind w:left="1288"/>
              <w:jc w:val="both"/>
              <w:rPr>
                <w:rFonts w:hint="default" w:ascii="Times New Roman" w:hAnsi="Times New Roman" w:eastAsia="宋体" w:cs="Times New Roman"/>
                <w:spacing w:val="7"/>
                <w:sz w:val="24"/>
                <w:szCs w:val="24"/>
              </w:rPr>
            </w:pPr>
            <w:r>
              <w:rPr>
                <w:rFonts w:hint="default" w:ascii="Times New Roman" w:hAnsi="Times New Roman" w:eastAsia="宋体" w:cs="Times New Roman"/>
                <w:spacing w:val="9"/>
                <w:sz w:val="24"/>
                <w:szCs w:val="24"/>
              </w:rPr>
              <w:t>凝</w:t>
            </w:r>
            <w:r>
              <w:rPr>
                <w:rFonts w:hint="default" w:ascii="Times New Roman" w:hAnsi="Times New Roman" w:eastAsia="宋体" w:cs="Times New Roman"/>
                <w:spacing w:val="7"/>
                <w:sz w:val="24"/>
                <w:szCs w:val="24"/>
              </w:rPr>
              <w:t>结时间</w:t>
            </w:r>
          </w:p>
        </w:tc>
        <w:tc>
          <w:tcPr>
            <w:tcW w:w="2019" w:type="dxa"/>
            <w:vMerge w:val="continue"/>
            <w:tcBorders>
              <w:top w:val="single" w:color="auto" w:sz="4" w:space="0"/>
              <w:left w:val="single" w:color="auto" w:sz="4" w:space="0"/>
              <w:bottom w:val="single" w:color="auto" w:sz="4" w:space="0"/>
              <w:right w:val="single" w:color="auto" w:sz="4" w:space="0"/>
            </w:tcBorders>
            <w:noWrap w:val="0"/>
            <w:vAlign w:val="top"/>
          </w:tcPr>
          <w:p w14:paraId="04DC2CF9">
            <w:pPr>
              <w:spacing w:before="124" w:line="230" w:lineRule="auto"/>
              <w:ind w:left="1288"/>
              <w:rPr>
                <w:rFonts w:hint="default" w:ascii="Times New Roman" w:hAnsi="Times New Roman" w:eastAsia="宋体" w:cs="Times New Roman"/>
                <w:spacing w:val="9"/>
                <w:sz w:val="24"/>
                <w:szCs w:val="24"/>
              </w:rPr>
            </w:pPr>
          </w:p>
        </w:tc>
        <w:tc>
          <w:tcPr>
            <w:tcW w:w="2019" w:type="dxa"/>
            <w:tcBorders>
              <w:top w:val="single" w:color="auto" w:sz="4" w:space="0"/>
              <w:left w:val="single" w:color="auto" w:sz="4" w:space="0"/>
              <w:bottom w:val="single" w:color="auto" w:sz="4" w:space="0"/>
              <w:right w:val="single" w:color="auto" w:sz="4" w:space="0"/>
            </w:tcBorders>
            <w:noWrap w:val="0"/>
            <w:vAlign w:val="center"/>
          </w:tcPr>
          <w:p w14:paraId="550D43CF">
            <w:pPr>
              <w:spacing w:before="57" w:line="275" w:lineRule="exact"/>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position w:val="1"/>
                <w:sz w:val="24"/>
                <w:szCs w:val="24"/>
              </w:rPr>
              <w:t xml:space="preserve"> GB/T 1346—2024</w:t>
            </w:r>
          </w:p>
        </w:tc>
      </w:tr>
      <w:tr w14:paraId="54DC8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39" w:type="dxa"/>
            <w:tcBorders>
              <w:top w:val="single" w:color="auto" w:sz="4" w:space="0"/>
            </w:tcBorders>
            <w:noWrap w:val="0"/>
            <w:vAlign w:val="top"/>
          </w:tcPr>
          <w:p w14:paraId="0682210B">
            <w:pPr>
              <w:spacing w:before="165" w:line="192" w:lineRule="auto"/>
              <w:ind w:left="473"/>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w:t>
            </w:r>
          </w:p>
        </w:tc>
        <w:tc>
          <w:tcPr>
            <w:tcW w:w="3408" w:type="dxa"/>
            <w:tcBorders>
              <w:top w:val="single" w:color="auto" w:sz="4" w:space="0"/>
            </w:tcBorders>
            <w:noWrap w:val="0"/>
            <w:vAlign w:val="top"/>
          </w:tcPr>
          <w:p w14:paraId="31FCDBB4">
            <w:pPr>
              <w:spacing w:before="125" w:line="228" w:lineRule="auto"/>
              <w:ind w:left="139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安</w:t>
            </w:r>
            <w:r>
              <w:rPr>
                <w:rFonts w:hint="default" w:ascii="Times New Roman" w:hAnsi="Times New Roman" w:eastAsia="宋体" w:cs="Times New Roman"/>
                <w:spacing w:val="5"/>
                <w:sz w:val="24"/>
                <w:szCs w:val="24"/>
              </w:rPr>
              <w:t>定性</w:t>
            </w:r>
          </w:p>
        </w:tc>
        <w:tc>
          <w:tcPr>
            <w:tcW w:w="2019" w:type="dxa"/>
            <w:vMerge w:val="continue"/>
            <w:tcBorders>
              <w:top w:val="single" w:color="auto" w:sz="4" w:space="0"/>
            </w:tcBorders>
            <w:noWrap w:val="0"/>
            <w:vAlign w:val="top"/>
          </w:tcPr>
          <w:p w14:paraId="7C62063A">
            <w:pPr>
              <w:spacing w:before="125" w:line="228" w:lineRule="auto"/>
              <w:ind w:left="1397"/>
              <w:rPr>
                <w:rFonts w:hint="default" w:ascii="Times New Roman" w:hAnsi="Times New Roman" w:eastAsia="宋体" w:cs="Times New Roman"/>
                <w:spacing w:val="6"/>
                <w:sz w:val="24"/>
                <w:szCs w:val="24"/>
              </w:rPr>
            </w:pPr>
          </w:p>
        </w:tc>
        <w:tc>
          <w:tcPr>
            <w:tcW w:w="2019" w:type="dxa"/>
            <w:tcBorders>
              <w:top w:val="single" w:color="auto" w:sz="4" w:space="0"/>
            </w:tcBorders>
            <w:noWrap w:val="0"/>
            <w:vAlign w:val="center"/>
          </w:tcPr>
          <w:p w14:paraId="421B47AA">
            <w:pPr>
              <w:spacing w:before="57" w:line="275" w:lineRule="exact"/>
              <w:jc w:val="center"/>
              <w:rPr>
                <w:rFonts w:hint="default" w:ascii="Times New Roman" w:hAnsi="Times New Roman" w:eastAsia="宋体" w:cs="Times New Roman"/>
                <w:sz w:val="24"/>
                <w:szCs w:val="24"/>
              </w:rPr>
            </w:pPr>
            <w:r>
              <w:rPr>
                <w:rFonts w:hint="default" w:ascii="Times New Roman" w:hAnsi="Times New Roman" w:eastAsia="宋体" w:cs="Times New Roman"/>
                <w:position w:val="1"/>
                <w:sz w:val="24"/>
                <w:szCs w:val="24"/>
              </w:rPr>
              <w:t xml:space="preserve"> GB/T 1346—2024 GB/T 750—2024</w:t>
            </w:r>
          </w:p>
        </w:tc>
      </w:tr>
      <w:tr w14:paraId="64D71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039" w:type="dxa"/>
            <w:noWrap w:val="0"/>
            <w:vAlign w:val="top"/>
          </w:tcPr>
          <w:p w14:paraId="0F16324F">
            <w:pPr>
              <w:spacing w:before="296" w:line="195" w:lineRule="auto"/>
              <w:ind w:left="478"/>
              <w:rPr>
                <w:rFonts w:hint="default" w:ascii="Times New Roman" w:hAnsi="Times New Roman" w:eastAsia="宋体" w:cs="Times New Roman"/>
                <w:sz w:val="24"/>
                <w:szCs w:val="24"/>
              </w:rPr>
            </w:pPr>
            <w:r>
              <w:rPr>
                <w:rFonts w:hint="default" w:ascii="Times New Roman" w:hAnsi="Times New Roman" w:eastAsia="宋体" w:cs="Times New Roman"/>
                <w:sz w:val="24"/>
                <w:szCs w:val="24"/>
              </w:rPr>
              <w:t>8</w:t>
            </w:r>
          </w:p>
        </w:tc>
        <w:tc>
          <w:tcPr>
            <w:tcW w:w="3408" w:type="dxa"/>
            <w:noWrap w:val="0"/>
            <w:vAlign w:val="center"/>
          </w:tcPr>
          <w:p w14:paraId="77A386C4">
            <w:pPr>
              <w:spacing w:before="260" w:line="229" w:lineRule="auto"/>
              <w:jc w:val="center"/>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rPr>
              <w:t>强度</w:t>
            </w:r>
          </w:p>
        </w:tc>
        <w:tc>
          <w:tcPr>
            <w:tcW w:w="2019" w:type="dxa"/>
            <w:vMerge w:val="continue"/>
            <w:noWrap w:val="0"/>
            <w:vAlign w:val="center"/>
          </w:tcPr>
          <w:p w14:paraId="16974997">
            <w:pPr>
              <w:spacing w:before="260" w:line="229" w:lineRule="auto"/>
              <w:jc w:val="center"/>
              <w:rPr>
                <w:rFonts w:hint="default" w:ascii="Times New Roman" w:hAnsi="Times New Roman" w:eastAsia="宋体" w:cs="Times New Roman"/>
                <w:spacing w:val="2"/>
                <w:sz w:val="24"/>
                <w:szCs w:val="24"/>
              </w:rPr>
            </w:pPr>
          </w:p>
        </w:tc>
        <w:tc>
          <w:tcPr>
            <w:tcW w:w="2019" w:type="dxa"/>
            <w:noWrap w:val="0"/>
            <w:vAlign w:val="center"/>
          </w:tcPr>
          <w:p w14:paraId="220C2D50">
            <w:pPr>
              <w:spacing w:line="227"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GB 175—2023 </w:t>
            </w:r>
          </w:p>
          <w:p w14:paraId="5584AF74">
            <w:pPr>
              <w:spacing w:line="227"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GB/T 17671—2021 </w:t>
            </w:r>
          </w:p>
          <w:p w14:paraId="6BD8DE16">
            <w:pPr>
              <w:spacing w:line="227"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GB/T 2419—2005 </w:t>
            </w:r>
          </w:p>
        </w:tc>
      </w:tr>
      <w:tr w14:paraId="064E2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39" w:type="dxa"/>
            <w:noWrap w:val="0"/>
            <w:vAlign w:val="top"/>
          </w:tcPr>
          <w:p w14:paraId="2DDE0A18">
            <w:pPr>
              <w:spacing w:before="163" w:line="195" w:lineRule="auto"/>
              <w:ind w:left="473"/>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w:t>
            </w:r>
          </w:p>
        </w:tc>
        <w:tc>
          <w:tcPr>
            <w:tcW w:w="3408" w:type="dxa"/>
            <w:noWrap w:val="0"/>
            <w:vAlign w:val="top"/>
          </w:tcPr>
          <w:p w14:paraId="6B05CAD2">
            <w:pPr>
              <w:spacing w:before="125" w:line="229" w:lineRule="auto"/>
              <w:jc w:val="center"/>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pacing w:val="7"/>
                <w:sz w:val="24"/>
                <w:szCs w:val="24"/>
              </w:rPr>
              <w:t>放射</w:t>
            </w:r>
            <w:r>
              <w:rPr>
                <w:rFonts w:hint="default" w:ascii="Times New Roman" w:hAnsi="Times New Roman" w:eastAsia="宋体" w:cs="Times New Roman"/>
                <w:spacing w:val="6"/>
                <w:sz w:val="24"/>
                <w:szCs w:val="24"/>
              </w:rPr>
              <w:t>性</w:t>
            </w:r>
            <w:r>
              <w:rPr>
                <w:rFonts w:hint="eastAsia" w:ascii="Times New Roman" w:hAnsi="Times New Roman" w:eastAsia="宋体" w:cs="Times New Roman"/>
                <w:spacing w:val="6"/>
                <w:sz w:val="24"/>
                <w:szCs w:val="24"/>
                <w:lang w:val="en-US" w:eastAsia="zh-CN"/>
              </w:rPr>
              <w:t>核素限量</w:t>
            </w:r>
          </w:p>
        </w:tc>
        <w:tc>
          <w:tcPr>
            <w:tcW w:w="2019" w:type="dxa"/>
            <w:vMerge w:val="continue"/>
            <w:noWrap w:val="0"/>
            <w:vAlign w:val="top"/>
          </w:tcPr>
          <w:p w14:paraId="35080794">
            <w:pPr>
              <w:spacing w:before="125" w:line="229" w:lineRule="auto"/>
              <w:ind w:left="1392"/>
              <w:rPr>
                <w:rFonts w:hint="default" w:ascii="Times New Roman" w:hAnsi="Times New Roman" w:eastAsia="宋体" w:cs="Times New Roman"/>
                <w:spacing w:val="7"/>
                <w:sz w:val="24"/>
                <w:szCs w:val="24"/>
              </w:rPr>
            </w:pPr>
          </w:p>
        </w:tc>
        <w:tc>
          <w:tcPr>
            <w:tcW w:w="2019" w:type="dxa"/>
            <w:noWrap w:val="0"/>
            <w:vAlign w:val="center"/>
          </w:tcPr>
          <w:p w14:paraId="39A317FE">
            <w:pPr>
              <w:spacing w:before="163" w:line="195"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w:t>
            </w:r>
            <w:r>
              <w:rPr>
                <w:rFonts w:hint="default" w:ascii="Times New Roman" w:hAnsi="Times New Roman" w:eastAsia="宋体" w:cs="Times New Roman"/>
                <w:spacing w:val="7"/>
                <w:sz w:val="24"/>
                <w:szCs w:val="24"/>
              </w:rPr>
              <w:t xml:space="preserve"> </w:t>
            </w:r>
            <w:r>
              <w:rPr>
                <w:rFonts w:hint="default" w:ascii="Times New Roman" w:hAnsi="Times New Roman" w:eastAsia="宋体" w:cs="Times New Roman"/>
                <w:spacing w:val="5"/>
                <w:sz w:val="24"/>
                <w:szCs w:val="24"/>
              </w:rPr>
              <w:t>6566-2010</w:t>
            </w:r>
          </w:p>
        </w:tc>
      </w:tr>
      <w:tr w14:paraId="7CC9D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039" w:type="dxa"/>
            <w:noWrap w:val="0"/>
            <w:vAlign w:val="top"/>
          </w:tcPr>
          <w:p w14:paraId="7CFACD1A">
            <w:pPr>
              <w:spacing w:before="162" w:line="195" w:lineRule="auto"/>
              <w:ind w:left="43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1</w:t>
            </w:r>
            <w:r>
              <w:rPr>
                <w:rFonts w:hint="default" w:ascii="Times New Roman" w:hAnsi="Times New Roman" w:eastAsia="宋体" w:cs="Times New Roman"/>
                <w:spacing w:val="-7"/>
                <w:sz w:val="24"/>
                <w:szCs w:val="24"/>
              </w:rPr>
              <w:t>0</w:t>
            </w:r>
          </w:p>
        </w:tc>
        <w:tc>
          <w:tcPr>
            <w:tcW w:w="3408" w:type="dxa"/>
            <w:noWrap w:val="0"/>
            <w:vAlign w:val="top"/>
          </w:tcPr>
          <w:p w14:paraId="1014D5DE">
            <w:pPr>
              <w:spacing w:before="96" w:line="274" w:lineRule="exact"/>
              <w:jc w:val="center"/>
              <w:rPr>
                <w:rFonts w:hint="default" w:ascii="Times New Roman" w:hAnsi="Times New Roman" w:eastAsia="宋体" w:cs="Times New Roman"/>
                <w:sz w:val="24"/>
                <w:szCs w:val="24"/>
              </w:rPr>
            </w:pPr>
            <w:r>
              <w:rPr>
                <w:rFonts w:hint="eastAsia" w:ascii="Times New Roman" w:hAnsi="Times New Roman" w:eastAsia="宋体" w:cs="Times New Roman"/>
                <w:spacing w:val="8"/>
                <w:position w:val="2"/>
                <w:sz w:val="24"/>
                <w:szCs w:val="24"/>
                <w:lang w:val="en-US" w:eastAsia="zh-CN"/>
              </w:rPr>
              <w:t>水泥中</w:t>
            </w:r>
            <w:r>
              <w:rPr>
                <w:rFonts w:hint="default" w:ascii="Times New Roman" w:hAnsi="Times New Roman" w:eastAsia="宋体" w:cs="Times New Roman"/>
                <w:spacing w:val="8"/>
                <w:position w:val="2"/>
                <w:sz w:val="24"/>
                <w:szCs w:val="24"/>
              </w:rPr>
              <w:t>水</w:t>
            </w:r>
            <w:r>
              <w:rPr>
                <w:rFonts w:hint="default" w:ascii="Times New Roman" w:hAnsi="Times New Roman" w:eastAsia="宋体" w:cs="Times New Roman"/>
                <w:spacing w:val="6"/>
                <w:position w:val="2"/>
                <w:sz w:val="24"/>
                <w:szCs w:val="24"/>
              </w:rPr>
              <w:t>溶性铬(Ⅵ)</w:t>
            </w:r>
          </w:p>
        </w:tc>
        <w:tc>
          <w:tcPr>
            <w:tcW w:w="2019" w:type="dxa"/>
            <w:vMerge w:val="continue"/>
            <w:noWrap w:val="0"/>
            <w:vAlign w:val="top"/>
          </w:tcPr>
          <w:p w14:paraId="653112CD">
            <w:pPr>
              <w:spacing w:before="96" w:line="274" w:lineRule="exact"/>
              <w:ind w:left="1117"/>
              <w:rPr>
                <w:rFonts w:hint="default" w:ascii="Times New Roman" w:hAnsi="Times New Roman" w:eastAsia="宋体" w:cs="Times New Roman"/>
                <w:spacing w:val="8"/>
                <w:position w:val="2"/>
                <w:sz w:val="24"/>
                <w:szCs w:val="24"/>
              </w:rPr>
            </w:pPr>
          </w:p>
        </w:tc>
        <w:tc>
          <w:tcPr>
            <w:tcW w:w="2019" w:type="dxa"/>
            <w:noWrap w:val="0"/>
            <w:vAlign w:val="center"/>
          </w:tcPr>
          <w:p w14:paraId="45E44C3E">
            <w:pPr>
              <w:spacing w:before="162" w:line="195"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w:t>
            </w:r>
            <w:r>
              <w:rPr>
                <w:rFonts w:hint="default" w:ascii="Times New Roman" w:hAnsi="Times New Roman" w:eastAsia="宋体" w:cs="Times New Roman"/>
                <w:spacing w:val="5"/>
                <w:sz w:val="24"/>
                <w:szCs w:val="24"/>
              </w:rPr>
              <w:t xml:space="preserve"> 31893-2015</w:t>
            </w:r>
          </w:p>
        </w:tc>
      </w:tr>
    </w:tbl>
    <w:p w14:paraId="6CBA7C2D">
      <w:pPr>
        <w:keepNext w:val="0"/>
        <w:keepLines w:val="0"/>
        <w:pageBreakBefore w:val="0"/>
        <w:widowControl/>
        <w:kinsoku w:val="0"/>
        <w:wordWrap/>
        <w:overflowPunct/>
        <w:topLinePunct w:val="0"/>
        <w:autoSpaceDE w:val="0"/>
        <w:autoSpaceDN w:val="0"/>
        <w:bidi w:val="0"/>
        <w:adjustRightInd w:val="0"/>
        <w:snapToGrid w:val="0"/>
        <w:spacing w:before="172" w:line="482" w:lineRule="exact"/>
        <w:ind w:left="23"/>
        <w:textAlignment w:val="baseline"/>
        <w:rPr>
          <w:rFonts w:hint="default" w:ascii="Times New Roman" w:hAnsi="Times New Roman" w:eastAsia="宋体" w:cs="Times New Roman"/>
          <w:spacing w:val="7"/>
          <w:position w:val="18"/>
          <w:sz w:val="28"/>
          <w:szCs w:val="28"/>
        </w:rPr>
      </w:pPr>
    </w:p>
    <w:p w14:paraId="6A64B553">
      <w:pPr>
        <w:keepNext w:val="0"/>
        <w:keepLines w:val="0"/>
        <w:pageBreakBefore w:val="0"/>
        <w:widowControl/>
        <w:kinsoku w:val="0"/>
        <w:wordWrap/>
        <w:overflowPunct/>
        <w:topLinePunct w:val="0"/>
        <w:autoSpaceDE w:val="0"/>
        <w:autoSpaceDN w:val="0"/>
        <w:bidi w:val="0"/>
        <w:adjustRightInd w:val="0"/>
        <w:snapToGrid w:val="0"/>
        <w:spacing w:before="172" w:line="560" w:lineRule="exact"/>
        <w:ind w:left="23"/>
        <w:textAlignment w:val="baseline"/>
        <w:rPr>
          <w:rFonts w:hint="default" w:ascii="Times New Roman" w:hAnsi="Times New Roman" w:eastAsia="宋体" w:cs="Times New Roman"/>
          <w:spacing w:val="2"/>
          <w:position w:val="18"/>
          <w:sz w:val="28"/>
          <w:szCs w:val="28"/>
        </w:rPr>
      </w:pPr>
      <w:r>
        <w:rPr>
          <w:rFonts w:hint="default" w:ascii="Times New Roman" w:hAnsi="Times New Roman" w:eastAsia="宋体" w:cs="Times New Roman"/>
          <w:spacing w:val="7"/>
          <w:position w:val="18"/>
          <w:sz w:val="28"/>
          <w:szCs w:val="28"/>
        </w:rPr>
        <w:t>注：不同品种水泥的检验项目按照</w:t>
      </w:r>
      <w:r>
        <w:rPr>
          <w:rFonts w:hint="default" w:ascii="Times New Roman" w:hAnsi="Times New Roman" w:eastAsia="宋体" w:cs="Times New Roman"/>
          <w:position w:val="18"/>
          <w:sz w:val="28"/>
          <w:szCs w:val="28"/>
        </w:rPr>
        <w:t>GB</w:t>
      </w:r>
      <w:r>
        <w:rPr>
          <w:rFonts w:hint="default" w:ascii="Times New Roman" w:hAnsi="Times New Roman" w:eastAsia="宋体" w:cs="Times New Roman"/>
          <w:spacing w:val="7"/>
          <w:position w:val="18"/>
          <w:sz w:val="28"/>
          <w:szCs w:val="28"/>
        </w:rPr>
        <w:t xml:space="preserve"> 175-</w:t>
      </w:r>
      <w:r>
        <w:rPr>
          <w:rFonts w:hint="eastAsia" w:ascii="Times New Roman" w:hAnsi="Times New Roman" w:eastAsia="宋体" w:cs="Times New Roman"/>
          <w:spacing w:val="7"/>
          <w:position w:val="18"/>
          <w:sz w:val="28"/>
          <w:szCs w:val="28"/>
          <w:lang w:val="en-US" w:eastAsia="zh-CN"/>
        </w:rPr>
        <w:t>2023</w:t>
      </w:r>
      <w:r>
        <w:rPr>
          <w:rFonts w:hint="default" w:ascii="Times New Roman" w:hAnsi="Times New Roman" w:eastAsia="宋体" w:cs="Times New Roman"/>
          <w:spacing w:val="7"/>
          <w:position w:val="18"/>
          <w:sz w:val="28"/>
          <w:szCs w:val="28"/>
        </w:rPr>
        <w:t>《通用硅酸盐水泥》相应产品的规定进行</w:t>
      </w:r>
      <w:r>
        <w:rPr>
          <w:rFonts w:hint="default" w:ascii="Times New Roman" w:hAnsi="Times New Roman" w:eastAsia="宋体" w:cs="Times New Roman"/>
          <w:spacing w:val="2"/>
          <w:position w:val="18"/>
          <w:sz w:val="28"/>
          <w:szCs w:val="28"/>
        </w:rPr>
        <w:t>。</w:t>
      </w:r>
    </w:p>
    <w:p w14:paraId="7A404209">
      <w:pPr>
        <w:spacing w:before="2" w:line="406" w:lineRule="auto"/>
        <w:ind w:right="15"/>
        <w:jc w:val="center"/>
        <w:rPr>
          <w:rFonts w:hint="default" w:ascii="Times New Roman" w:hAnsi="Times New Roman" w:eastAsia="宋体" w:cs="Times New Roman"/>
          <w:sz w:val="24"/>
          <w:szCs w:val="24"/>
        </w:rPr>
      </w:pPr>
      <w:r>
        <w:rPr>
          <w:rFonts w:hint="default" w:ascii="Times New Roman" w:hAnsi="Times New Roman" w:eastAsia="宋体" w:cs="Times New Roman"/>
          <w:spacing w:val="4"/>
          <w:sz w:val="28"/>
          <w:szCs w:val="28"/>
        </w:rPr>
        <w:t xml:space="preserve">表 </w:t>
      </w:r>
      <w:r>
        <w:rPr>
          <w:rFonts w:hint="eastAsia" w:ascii="Times New Roman" w:hAnsi="Times New Roman" w:eastAsia="宋体" w:cs="Times New Roman"/>
          <w:spacing w:val="4"/>
          <w:sz w:val="28"/>
          <w:szCs w:val="28"/>
          <w:lang w:val="en-US" w:eastAsia="zh-CN"/>
        </w:rPr>
        <w:t>2</w:t>
      </w:r>
      <w:r>
        <w:rPr>
          <w:rFonts w:hint="default" w:ascii="Times New Roman" w:hAnsi="Times New Roman" w:eastAsia="宋体" w:cs="Times New Roman"/>
          <w:spacing w:val="4"/>
          <w:sz w:val="28"/>
          <w:szCs w:val="28"/>
        </w:rPr>
        <w:t xml:space="preserve"> </w:t>
      </w:r>
      <w:r>
        <w:rPr>
          <w:rFonts w:hint="default" w:ascii="Times New Roman" w:hAnsi="Times New Roman" w:eastAsia="宋体" w:cs="Times New Roman"/>
          <w:spacing w:val="2"/>
          <w:sz w:val="28"/>
          <w:szCs w:val="28"/>
        </w:rPr>
        <w:t xml:space="preserve"> </w:t>
      </w:r>
      <w:r>
        <w:rPr>
          <w:rFonts w:hint="eastAsia" w:ascii="Times New Roman" w:hAnsi="Times New Roman" w:eastAsia="宋体" w:cs="Times New Roman"/>
          <w:spacing w:val="2"/>
          <w:sz w:val="28"/>
          <w:szCs w:val="28"/>
          <w:lang w:eastAsia="zh-CN"/>
        </w:rPr>
        <w:t>白色</w:t>
      </w:r>
      <w:r>
        <w:rPr>
          <w:rFonts w:hint="default" w:ascii="Times New Roman" w:hAnsi="Times New Roman" w:eastAsia="宋体" w:cs="Times New Roman"/>
          <w:spacing w:val="2"/>
          <w:sz w:val="28"/>
          <w:szCs w:val="28"/>
        </w:rPr>
        <w:t>硅酸盐水泥</w:t>
      </w:r>
    </w:p>
    <w:p w14:paraId="33E64A2F">
      <w:pPr>
        <w:spacing w:line="19" w:lineRule="exact"/>
        <w:rPr>
          <w:rFonts w:hint="default" w:ascii="Times New Roman" w:hAnsi="Times New Roman" w:eastAsia="宋体" w:cs="Times New Roman"/>
          <w:sz w:val="24"/>
          <w:szCs w:val="24"/>
        </w:rPr>
      </w:pPr>
    </w:p>
    <w:tbl>
      <w:tblPr>
        <w:tblStyle w:val="4"/>
        <w:tblW w:w="8485"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9"/>
        <w:gridCol w:w="3408"/>
        <w:gridCol w:w="2019"/>
        <w:gridCol w:w="2019"/>
      </w:tblGrid>
      <w:tr w14:paraId="0C9B8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39" w:type="dxa"/>
            <w:noWrap w:val="0"/>
            <w:vAlign w:val="center"/>
          </w:tcPr>
          <w:p w14:paraId="5B0AEF88">
            <w:pPr>
              <w:spacing w:before="177" w:line="23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5"/>
                <w:sz w:val="24"/>
                <w:szCs w:val="24"/>
              </w:rPr>
              <w:t>序号</w:t>
            </w:r>
          </w:p>
        </w:tc>
        <w:tc>
          <w:tcPr>
            <w:tcW w:w="3408" w:type="dxa"/>
            <w:noWrap w:val="0"/>
            <w:vAlign w:val="center"/>
          </w:tcPr>
          <w:p w14:paraId="7430496B">
            <w:pPr>
              <w:spacing w:before="177" w:line="228"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8"/>
                <w:sz w:val="24"/>
                <w:szCs w:val="24"/>
              </w:rPr>
              <w:t>检</w:t>
            </w:r>
            <w:r>
              <w:rPr>
                <w:rFonts w:hint="default" w:ascii="Times New Roman" w:hAnsi="Times New Roman" w:eastAsia="宋体" w:cs="Times New Roman"/>
                <w:b/>
                <w:bCs/>
                <w:spacing w:val="7"/>
                <w:sz w:val="24"/>
                <w:szCs w:val="24"/>
              </w:rPr>
              <w:t>验项目</w:t>
            </w:r>
          </w:p>
        </w:tc>
        <w:tc>
          <w:tcPr>
            <w:tcW w:w="2019" w:type="dxa"/>
            <w:noWrap w:val="0"/>
            <w:vAlign w:val="center"/>
          </w:tcPr>
          <w:p w14:paraId="53214437">
            <w:pPr>
              <w:spacing w:before="177" w:line="228" w:lineRule="auto"/>
              <w:jc w:val="center"/>
              <w:rPr>
                <w:rFonts w:hint="eastAsia" w:ascii="Times New Roman" w:hAnsi="Times New Roman" w:eastAsia="宋体" w:cs="Times New Roman"/>
                <w:b/>
                <w:bCs/>
                <w:spacing w:val="8"/>
                <w:sz w:val="24"/>
                <w:szCs w:val="24"/>
                <w:lang w:eastAsia="zh-CN"/>
              </w:rPr>
            </w:pPr>
            <w:r>
              <w:rPr>
                <w:rFonts w:hint="eastAsia" w:ascii="Times New Roman" w:hAnsi="Times New Roman" w:eastAsia="宋体" w:cs="Times New Roman"/>
                <w:b/>
                <w:bCs/>
                <w:spacing w:val="8"/>
                <w:sz w:val="24"/>
                <w:szCs w:val="24"/>
                <w:lang w:eastAsia="zh-CN"/>
              </w:rPr>
              <w:t>检验依据</w:t>
            </w:r>
          </w:p>
        </w:tc>
        <w:tc>
          <w:tcPr>
            <w:tcW w:w="2019" w:type="dxa"/>
            <w:noWrap w:val="0"/>
            <w:vAlign w:val="center"/>
          </w:tcPr>
          <w:p w14:paraId="4FDA536A">
            <w:pPr>
              <w:spacing w:before="177" w:line="228"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pacing w:val="8"/>
                <w:sz w:val="24"/>
                <w:szCs w:val="24"/>
              </w:rPr>
              <w:t>检</w:t>
            </w:r>
            <w:r>
              <w:rPr>
                <w:rFonts w:hint="default" w:ascii="Times New Roman" w:hAnsi="Times New Roman" w:eastAsia="宋体" w:cs="Times New Roman"/>
                <w:b/>
                <w:bCs/>
                <w:spacing w:val="7"/>
                <w:sz w:val="24"/>
                <w:szCs w:val="24"/>
              </w:rPr>
              <w:t>验方法</w:t>
            </w:r>
          </w:p>
        </w:tc>
      </w:tr>
      <w:tr w14:paraId="1BF7E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039" w:type="dxa"/>
            <w:noWrap w:val="0"/>
            <w:vAlign w:val="center"/>
          </w:tcPr>
          <w:p w14:paraId="7C3A587A">
            <w:pPr>
              <w:spacing w:before="296" w:line="195"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1</w:t>
            </w:r>
          </w:p>
        </w:tc>
        <w:tc>
          <w:tcPr>
            <w:tcW w:w="3408" w:type="dxa"/>
            <w:noWrap w:val="0"/>
            <w:vAlign w:val="center"/>
          </w:tcPr>
          <w:p w14:paraId="65A9055F">
            <w:pPr>
              <w:spacing w:before="260" w:line="229" w:lineRule="auto"/>
              <w:jc w:val="center"/>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rPr>
              <w:t>强度</w:t>
            </w:r>
          </w:p>
        </w:tc>
        <w:tc>
          <w:tcPr>
            <w:tcW w:w="2019" w:type="dxa"/>
            <w:vMerge w:val="restart"/>
            <w:noWrap w:val="0"/>
            <w:vAlign w:val="center"/>
          </w:tcPr>
          <w:p w14:paraId="211DDE6F">
            <w:pPr>
              <w:spacing w:before="260" w:line="229" w:lineRule="auto"/>
              <w:jc w:val="center"/>
              <w:rPr>
                <w:rFonts w:hint="default" w:ascii="Times New Roman" w:hAnsi="Times New Roman" w:eastAsia="宋体" w:cs="Times New Roman"/>
                <w:spacing w:val="2"/>
                <w:sz w:val="24"/>
                <w:szCs w:val="24"/>
              </w:rPr>
            </w:pPr>
            <w:r>
              <w:rPr>
                <w:rFonts w:hint="default" w:ascii="Times New Roman" w:hAnsi="Times New Roman" w:eastAsia="宋体" w:cs="Times New Roman"/>
                <w:spacing w:val="2"/>
                <w:sz w:val="24"/>
                <w:szCs w:val="24"/>
              </w:rPr>
              <w:t>GB/T 2015-2017</w:t>
            </w:r>
          </w:p>
        </w:tc>
        <w:tc>
          <w:tcPr>
            <w:tcW w:w="2019" w:type="dxa"/>
            <w:noWrap w:val="0"/>
            <w:vAlign w:val="center"/>
          </w:tcPr>
          <w:p w14:paraId="799BFB78">
            <w:pPr>
              <w:spacing w:line="227"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GB/T 17671—2021</w:t>
            </w:r>
          </w:p>
        </w:tc>
      </w:tr>
      <w:tr w14:paraId="5A3A3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39" w:type="dxa"/>
            <w:noWrap w:val="0"/>
            <w:vAlign w:val="center"/>
          </w:tcPr>
          <w:p w14:paraId="7B535500">
            <w:pPr>
              <w:spacing w:before="163" w:line="195"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2</w:t>
            </w:r>
          </w:p>
        </w:tc>
        <w:tc>
          <w:tcPr>
            <w:tcW w:w="3408" w:type="dxa"/>
            <w:noWrap w:val="0"/>
            <w:vAlign w:val="center"/>
          </w:tcPr>
          <w:p w14:paraId="21AD00DC">
            <w:pPr>
              <w:spacing w:before="125" w:line="229" w:lineRule="auto"/>
              <w:jc w:val="center"/>
              <w:rPr>
                <w:rFonts w:hint="default" w:ascii="Times New Roman" w:hAnsi="Times New Roman" w:eastAsia="宋体" w:cs="Times New Roman"/>
                <w:sz w:val="24"/>
                <w:szCs w:val="24"/>
              </w:rPr>
            </w:pPr>
            <w:r>
              <w:rPr>
                <w:rFonts w:hint="default" w:ascii="Times New Roman" w:hAnsi="Times New Roman" w:eastAsia="宋体" w:cs="Times New Roman"/>
                <w:spacing w:val="7"/>
                <w:sz w:val="24"/>
                <w:szCs w:val="24"/>
              </w:rPr>
              <w:t>放射</w:t>
            </w:r>
            <w:r>
              <w:rPr>
                <w:rFonts w:hint="default" w:ascii="Times New Roman" w:hAnsi="Times New Roman" w:eastAsia="宋体" w:cs="Times New Roman"/>
                <w:spacing w:val="6"/>
                <w:sz w:val="24"/>
                <w:szCs w:val="24"/>
              </w:rPr>
              <w:t>性</w:t>
            </w:r>
          </w:p>
        </w:tc>
        <w:tc>
          <w:tcPr>
            <w:tcW w:w="2019" w:type="dxa"/>
            <w:vMerge w:val="continue"/>
            <w:noWrap w:val="0"/>
            <w:vAlign w:val="center"/>
          </w:tcPr>
          <w:p w14:paraId="405547EF">
            <w:pPr>
              <w:spacing w:before="125" w:line="229" w:lineRule="auto"/>
              <w:ind w:left="1392"/>
              <w:jc w:val="center"/>
              <w:rPr>
                <w:rFonts w:hint="default" w:ascii="Times New Roman" w:hAnsi="Times New Roman" w:eastAsia="宋体" w:cs="Times New Roman"/>
                <w:spacing w:val="7"/>
                <w:sz w:val="24"/>
                <w:szCs w:val="24"/>
              </w:rPr>
            </w:pPr>
          </w:p>
        </w:tc>
        <w:tc>
          <w:tcPr>
            <w:tcW w:w="2019" w:type="dxa"/>
            <w:noWrap w:val="0"/>
            <w:vAlign w:val="center"/>
          </w:tcPr>
          <w:p w14:paraId="323D31F9">
            <w:pPr>
              <w:spacing w:before="163" w:line="195"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w:t>
            </w:r>
            <w:r>
              <w:rPr>
                <w:rFonts w:hint="default" w:ascii="Times New Roman" w:hAnsi="Times New Roman" w:eastAsia="宋体" w:cs="Times New Roman"/>
                <w:spacing w:val="7"/>
                <w:sz w:val="24"/>
                <w:szCs w:val="24"/>
              </w:rPr>
              <w:t xml:space="preserve"> </w:t>
            </w:r>
            <w:r>
              <w:rPr>
                <w:rFonts w:hint="default" w:ascii="Times New Roman" w:hAnsi="Times New Roman" w:eastAsia="宋体" w:cs="Times New Roman"/>
                <w:spacing w:val="5"/>
                <w:sz w:val="24"/>
                <w:szCs w:val="24"/>
              </w:rPr>
              <w:t>6566</w:t>
            </w:r>
            <w:bookmarkStart w:id="0" w:name="_GoBack"/>
            <w:bookmarkEnd w:id="0"/>
            <w:r>
              <w:rPr>
                <w:rFonts w:hint="default" w:ascii="Times New Roman" w:hAnsi="Times New Roman" w:eastAsia="宋体" w:cs="Times New Roman"/>
                <w:spacing w:val="5"/>
                <w:sz w:val="24"/>
                <w:szCs w:val="24"/>
              </w:rPr>
              <w:t>-2010</w:t>
            </w:r>
          </w:p>
        </w:tc>
      </w:tr>
      <w:tr w14:paraId="7FF80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039" w:type="dxa"/>
            <w:noWrap w:val="0"/>
            <w:vAlign w:val="center"/>
          </w:tcPr>
          <w:p w14:paraId="36467212">
            <w:pPr>
              <w:spacing w:before="162" w:line="195"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pacing w:val="-8"/>
                <w:sz w:val="24"/>
                <w:szCs w:val="24"/>
                <w:lang w:val="en-US" w:eastAsia="zh-CN"/>
              </w:rPr>
              <w:t>3</w:t>
            </w:r>
          </w:p>
        </w:tc>
        <w:tc>
          <w:tcPr>
            <w:tcW w:w="3408" w:type="dxa"/>
            <w:noWrap w:val="0"/>
            <w:vAlign w:val="center"/>
          </w:tcPr>
          <w:p w14:paraId="178EBC6A">
            <w:pPr>
              <w:spacing w:before="96" w:line="274" w:lineRule="exact"/>
              <w:jc w:val="center"/>
              <w:rPr>
                <w:rFonts w:hint="default" w:ascii="Times New Roman" w:hAnsi="Times New Roman" w:eastAsia="宋体" w:cs="Times New Roman"/>
                <w:sz w:val="24"/>
                <w:szCs w:val="24"/>
              </w:rPr>
            </w:pPr>
            <w:r>
              <w:rPr>
                <w:rFonts w:hint="eastAsia" w:ascii="Times New Roman" w:hAnsi="Times New Roman" w:eastAsia="宋体" w:cs="Times New Roman"/>
                <w:spacing w:val="8"/>
                <w:position w:val="2"/>
                <w:sz w:val="24"/>
                <w:szCs w:val="24"/>
                <w:lang w:val="en-US" w:eastAsia="zh-CN"/>
              </w:rPr>
              <w:t>水泥中</w:t>
            </w:r>
            <w:r>
              <w:rPr>
                <w:rFonts w:hint="default" w:ascii="Times New Roman" w:hAnsi="Times New Roman" w:eastAsia="宋体" w:cs="Times New Roman"/>
                <w:spacing w:val="8"/>
                <w:position w:val="2"/>
                <w:sz w:val="24"/>
                <w:szCs w:val="24"/>
              </w:rPr>
              <w:t>水</w:t>
            </w:r>
            <w:r>
              <w:rPr>
                <w:rFonts w:hint="default" w:ascii="Times New Roman" w:hAnsi="Times New Roman" w:eastAsia="宋体" w:cs="Times New Roman"/>
                <w:spacing w:val="6"/>
                <w:position w:val="2"/>
                <w:sz w:val="24"/>
                <w:szCs w:val="24"/>
              </w:rPr>
              <w:t>溶性</w:t>
            </w:r>
            <w:r>
              <w:rPr>
                <w:rFonts w:hint="eastAsia" w:ascii="Times New Roman" w:hAnsi="Times New Roman" w:eastAsia="宋体" w:cs="Times New Roman"/>
                <w:spacing w:val="6"/>
                <w:position w:val="2"/>
                <w:sz w:val="24"/>
                <w:szCs w:val="24"/>
                <w:lang w:val="en-US" w:eastAsia="zh-CN"/>
              </w:rPr>
              <w:t>六价</w:t>
            </w:r>
            <w:r>
              <w:rPr>
                <w:rFonts w:hint="default" w:ascii="Times New Roman" w:hAnsi="Times New Roman" w:eastAsia="宋体" w:cs="Times New Roman"/>
                <w:spacing w:val="6"/>
                <w:position w:val="2"/>
                <w:sz w:val="24"/>
                <w:szCs w:val="24"/>
              </w:rPr>
              <w:t>铬(Ⅵ)</w:t>
            </w:r>
          </w:p>
        </w:tc>
        <w:tc>
          <w:tcPr>
            <w:tcW w:w="2019" w:type="dxa"/>
            <w:vMerge w:val="continue"/>
            <w:noWrap w:val="0"/>
            <w:vAlign w:val="center"/>
          </w:tcPr>
          <w:p w14:paraId="4A6DA48A">
            <w:pPr>
              <w:spacing w:before="96" w:line="274" w:lineRule="exact"/>
              <w:ind w:left="1117"/>
              <w:jc w:val="center"/>
              <w:rPr>
                <w:rFonts w:hint="default" w:ascii="Times New Roman" w:hAnsi="Times New Roman" w:eastAsia="宋体" w:cs="Times New Roman"/>
                <w:spacing w:val="8"/>
                <w:position w:val="2"/>
                <w:sz w:val="24"/>
                <w:szCs w:val="24"/>
              </w:rPr>
            </w:pPr>
          </w:p>
        </w:tc>
        <w:tc>
          <w:tcPr>
            <w:tcW w:w="2019" w:type="dxa"/>
            <w:noWrap w:val="0"/>
            <w:vAlign w:val="center"/>
          </w:tcPr>
          <w:p w14:paraId="2A49F046">
            <w:pPr>
              <w:spacing w:before="162" w:line="195"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w:t>
            </w:r>
            <w:r>
              <w:rPr>
                <w:rFonts w:hint="default" w:ascii="Times New Roman" w:hAnsi="Times New Roman" w:eastAsia="宋体" w:cs="Times New Roman"/>
                <w:spacing w:val="5"/>
                <w:sz w:val="24"/>
                <w:szCs w:val="24"/>
              </w:rPr>
              <w:t xml:space="preserve"> 31893-2015</w:t>
            </w:r>
          </w:p>
        </w:tc>
      </w:tr>
    </w:tbl>
    <w:p w14:paraId="34B80F8C">
      <w:pPr>
        <w:keepNext w:val="0"/>
        <w:keepLines w:val="0"/>
        <w:pageBreakBefore w:val="0"/>
        <w:widowControl/>
        <w:kinsoku w:val="0"/>
        <w:wordWrap/>
        <w:overflowPunct/>
        <w:topLinePunct w:val="0"/>
        <w:autoSpaceDE w:val="0"/>
        <w:autoSpaceDN w:val="0"/>
        <w:bidi w:val="0"/>
        <w:adjustRightInd w:val="0"/>
        <w:snapToGrid w:val="0"/>
        <w:spacing w:before="172" w:line="560" w:lineRule="exact"/>
        <w:ind w:firstLine="588"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7"/>
          <w:position w:val="18"/>
          <w:sz w:val="28"/>
          <w:szCs w:val="28"/>
        </w:rPr>
        <w:t>执行企业标准、团体标准、地方标准的产品，检验项目参照上述内容执行。</w:t>
      </w:r>
    </w:p>
    <w:p w14:paraId="55762BB1">
      <w:pPr>
        <w:spacing w:before="65" w:line="230" w:lineRule="auto"/>
        <w:ind w:left="22"/>
        <w:rPr>
          <w:rFonts w:hint="default" w:ascii="Times New Roman" w:hAnsi="Times New Roman" w:eastAsia="宋体" w:cs="Times New Roman"/>
          <w:b/>
          <w:bCs/>
          <w:sz w:val="28"/>
          <w:szCs w:val="28"/>
        </w:rPr>
      </w:pPr>
      <w:r>
        <w:rPr>
          <w:rFonts w:hint="default" w:ascii="Times New Roman" w:hAnsi="Times New Roman" w:eastAsia="宋体" w:cs="Times New Roman"/>
          <w:b/>
          <w:bCs/>
          <w:spacing w:val="8"/>
          <w:sz w:val="28"/>
          <w:szCs w:val="28"/>
        </w:rPr>
        <w:t>3</w:t>
      </w:r>
      <w:r>
        <w:rPr>
          <w:rFonts w:hint="default" w:ascii="Times New Roman" w:hAnsi="Times New Roman" w:eastAsia="宋体" w:cs="Times New Roman"/>
          <w:b/>
          <w:bCs/>
          <w:spacing w:val="5"/>
          <w:sz w:val="28"/>
          <w:szCs w:val="28"/>
        </w:rPr>
        <w:t xml:space="preserve">  判定规则</w:t>
      </w:r>
    </w:p>
    <w:p w14:paraId="76660D1B">
      <w:pPr>
        <w:spacing w:before="261" w:line="228" w:lineRule="auto"/>
        <w:ind w:left="22"/>
        <w:rPr>
          <w:rFonts w:hint="default" w:ascii="Times New Roman" w:hAnsi="Times New Roman" w:eastAsia="宋体" w:cs="Times New Roman"/>
          <w:sz w:val="28"/>
          <w:szCs w:val="28"/>
        </w:rPr>
      </w:pPr>
      <w:r>
        <w:rPr>
          <w:rFonts w:hint="default" w:ascii="Times New Roman" w:hAnsi="Times New Roman" w:eastAsia="宋体" w:cs="Times New Roman"/>
          <w:spacing w:val="-1"/>
          <w:sz w:val="28"/>
          <w:szCs w:val="28"/>
        </w:rPr>
        <w:t>3. 1 依据</w:t>
      </w:r>
      <w:r>
        <w:rPr>
          <w:rFonts w:hint="default" w:ascii="Times New Roman" w:hAnsi="Times New Roman" w:eastAsia="宋体" w:cs="Times New Roman"/>
          <w:sz w:val="28"/>
          <w:szCs w:val="28"/>
        </w:rPr>
        <w:t>标准</w:t>
      </w:r>
    </w:p>
    <w:p w14:paraId="7CD4F117">
      <w:pPr>
        <w:spacing w:before="195" w:line="228" w:lineRule="auto"/>
        <w:ind w:left="441"/>
        <w:rPr>
          <w:rFonts w:hint="default" w:ascii="Times New Roman" w:hAnsi="Times New Roman" w:eastAsia="宋体" w:cs="Times New Roman"/>
          <w:spacing w:val="6"/>
          <w:sz w:val="28"/>
          <w:szCs w:val="28"/>
        </w:rPr>
      </w:pPr>
      <w:r>
        <w:rPr>
          <w:rFonts w:hint="default" w:ascii="Times New Roman" w:hAnsi="Times New Roman" w:eastAsia="宋体" w:cs="Times New Roman"/>
          <w:spacing w:val="6"/>
          <w:sz w:val="28"/>
          <w:szCs w:val="28"/>
        </w:rPr>
        <w:t>GB 175-</w:t>
      </w:r>
      <w:r>
        <w:rPr>
          <w:rFonts w:hint="eastAsia" w:ascii="Times New Roman" w:hAnsi="Times New Roman" w:eastAsia="宋体" w:cs="Times New Roman"/>
          <w:spacing w:val="6"/>
          <w:sz w:val="28"/>
          <w:szCs w:val="28"/>
          <w:lang w:val="en-US" w:eastAsia="zh-CN"/>
        </w:rPr>
        <w:t xml:space="preserve">2023 </w:t>
      </w:r>
      <w:r>
        <w:rPr>
          <w:rFonts w:hint="default" w:ascii="Times New Roman" w:hAnsi="Times New Roman" w:eastAsia="宋体" w:cs="Times New Roman"/>
          <w:spacing w:val="6"/>
          <w:sz w:val="28"/>
          <w:szCs w:val="28"/>
        </w:rPr>
        <w:t>通用硅酸盐水泥</w:t>
      </w:r>
    </w:p>
    <w:p w14:paraId="40AD66D4">
      <w:pPr>
        <w:spacing w:before="195" w:line="228" w:lineRule="auto"/>
        <w:ind w:left="441"/>
        <w:rPr>
          <w:rFonts w:hint="default" w:ascii="Times New Roman" w:hAnsi="Times New Roman" w:eastAsia="宋体" w:cs="Times New Roman"/>
          <w:spacing w:val="6"/>
          <w:sz w:val="28"/>
          <w:szCs w:val="28"/>
          <w:lang w:val="en-US" w:eastAsia="zh-CN"/>
        </w:rPr>
      </w:pPr>
      <w:r>
        <w:rPr>
          <w:rFonts w:hint="default" w:ascii="Times New Roman" w:hAnsi="Times New Roman" w:eastAsia="宋体" w:cs="Times New Roman"/>
          <w:spacing w:val="6"/>
          <w:sz w:val="28"/>
          <w:szCs w:val="28"/>
        </w:rPr>
        <w:t>GB/T 2015-2017</w:t>
      </w:r>
      <w:r>
        <w:rPr>
          <w:rFonts w:hint="eastAsia" w:ascii="Times New Roman" w:hAnsi="Times New Roman" w:eastAsia="宋体" w:cs="Times New Roman"/>
          <w:spacing w:val="6"/>
          <w:sz w:val="28"/>
          <w:szCs w:val="28"/>
          <w:lang w:val="en-US" w:eastAsia="zh-CN"/>
        </w:rPr>
        <w:t xml:space="preserve">  </w:t>
      </w:r>
      <w:r>
        <w:rPr>
          <w:rFonts w:hint="default" w:ascii="Times New Roman" w:hAnsi="Times New Roman" w:eastAsia="宋体" w:cs="Times New Roman"/>
          <w:spacing w:val="6"/>
          <w:sz w:val="28"/>
          <w:szCs w:val="28"/>
        </w:rPr>
        <w:t xml:space="preserve">白色硅酸盐水泥 </w:t>
      </w:r>
    </w:p>
    <w:p w14:paraId="7727C778">
      <w:pPr>
        <w:spacing w:before="192" w:line="439" w:lineRule="exact"/>
        <w:rPr>
          <w:rFonts w:hint="default" w:ascii="Times New Roman" w:hAnsi="Times New Roman" w:eastAsia="宋体" w:cs="Times New Roman"/>
          <w:sz w:val="28"/>
          <w:szCs w:val="28"/>
        </w:rPr>
      </w:pPr>
      <w:r>
        <w:rPr>
          <w:rFonts w:hint="default" w:ascii="Times New Roman" w:hAnsi="Times New Roman" w:eastAsia="宋体" w:cs="Times New Roman"/>
          <w:spacing w:val="18"/>
          <w:position w:val="17"/>
          <w:sz w:val="28"/>
          <w:szCs w:val="28"/>
        </w:rPr>
        <w:t>现</w:t>
      </w:r>
      <w:r>
        <w:rPr>
          <w:rFonts w:hint="default" w:ascii="Times New Roman" w:hAnsi="Times New Roman" w:eastAsia="宋体" w:cs="Times New Roman"/>
          <w:spacing w:val="15"/>
          <w:position w:val="17"/>
          <w:sz w:val="28"/>
          <w:szCs w:val="28"/>
        </w:rPr>
        <w:t>行</w:t>
      </w:r>
      <w:r>
        <w:rPr>
          <w:rFonts w:hint="default" w:ascii="Times New Roman" w:hAnsi="Times New Roman" w:eastAsia="宋体" w:cs="Times New Roman"/>
          <w:spacing w:val="9"/>
          <w:position w:val="17"/>
          <w:sz w:val="28"/>
          <w:szCs w:val="28"/>
        </w:rPr>
        <w:t>有效的企业标准、团体标准、地方标准及产品明示质量要求</w:t>
      </w:r>
    </w:p>
    <w:p w14:paraId="14B6B84F">
      <w:pPr>
        <w:spacing w:line="229" w:lineRule="auto"/>
        <w:ind w:left="22"/>
        <w:rPr>
          <w:rFonts w:hint="default" w:ascii="Times New Roman" w:hAnsi="Times New Roman" w:eastAsia="宋体" w:cs="Times New Roman"/>
          <w:sz w:val="28"/>
          <w:szCs w:val="28"/>
        </w:rPr>
      </w:pPr>
      <w:r>
        <w:rPr>
          <w:rFonts w:hint="default" w:ascii="Times New Roman" w:hAnsi="Times New Roman" w:eastAsia="宋体" w:cs="Times New Roman"/>
          <w:spacing w:val="8"/>
          <w:sz w:val="28"/>
          <w:szCs w:val="28"/>
        </w:rPr>
        <w:t>3</w:t>
      </w:r>
      <w:r>
        <w:rPr>
          <w:rFonts w:hint="default" w:ascii="Times New Roman" w:hAnsi="Times New Roman" w:eastAsia="宋体" w:cs="Times New Roman"/>
          <w:spacing w:val="5"/>
          <w:sz w:val="28"/>
          <w:szCs w:val="28"/>
        </w:rPr>
        <w:t>.2 判定原则</w:t>
      </w:r>
    </w:p>
    <w:p w14:paraId="1A39816E">
      <w:pPr>
        <w:spacing w:before="194" w:line="405" w:lineRule="auto"/>
        <w:ind w:left="23" w:right="13" w:firstLine="420"/>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经</w:t>
      </w:r>
      <w:r>
        <w:rPr>
          <w:rFonts w:hint="default" w:ascii="Times New Roman" w:hAnsi="Times New Roman" w:eastAsia="宋体" w:cs="Times New Roman"/>
          <w:spacing w:val="10"/>
          <w:sz w:val="28"/>
          <w:szCs w:val="28"/>
        </w:rPr>
        <w:t>检</w:t>
      </w:r>
      <w:r>
        <w:rPr>
          <w:rFonts w:hint="default" w:ascii="Times New Roman" w:hAnsi="Times New Roman" w:eastAsia="宋体" w:cs="Times New Roman"/>
          <w:spacing w:val="7"/>
          <w:sz w:val="28"/>
          <w:szCs w:val="28"/>
        </w:rPr>
        <w:t>验，检验项目全部合格，判定为被抽查产品</w:t>
      </w:r>
      <w:r>
        <w:rPr>
          <w:rFonts w:hint="eastAsia" w:ascii="Times New Roman" w:hAnsi="Times New Roman" w:eastAsia="宋体" w:cs="Times New Roman"/>
          <w:spacing w:val="7"/>
          <w:sz w:val="28"/>
          <w:szCs w:val="28"/>
          <w:lang w:eastAsia="zh-CN"/>
        </w:rPr>
        <w:t>所检项目未发现不</w:t>
      </w:r>
      <w:r>
        <w:rPr>
          <w:rFonts w:hint="default" w:ascii="Times New Roman" w:hAnsi="Times New Roman" w:eastAsia="宋体" w:cs="Times New Roman"/>
          <w:spacing w:val="7"/>
          <w:sz w:val="28"/>
          <w:szCs w:val="28"/>
        </w:rPr>
        <w:t>合格；检验项目中任一项或一项以上不</w:t>
      </w:r>
      <w:r>
        <w:rPr>
          <w:rFonts w:hint="default" w:ascii="Times New Roman" w:hAnsi="Times New Roman" w:eastAsia="宋体" w:cs="Times New Roman"/>
          <w:spacing w:val="16"/>
          <w:sz w:val="28"/>
          <w:szCs w:val="28"/>
        </w:rPr>
        <w:t>合</w:t>
      </w:r>
      <w:r>
        <w:rPr>
          <w:rFonts w:hint="default" w:ascii="Times New Roman" w:hAnsi="Times New Roman" w:eastAsia="宋体" w:cs="Times New Roman"/>
          <w:spacing w:val="8"/>
          <w:sz w:val="28"/>
          <w:szCs w:val="28"/>
        </w:rPr>
        <w:t>格，判定为被抽查产品不合格。</w:t>
      </w:r>
    </w:p>
    <w:p w14:paraId="79524C6C">
      <w:pPr>
        <w:spacing w:before="2" w:line="406" w:lineRule="auto"/>
        <w:ind w:left="23" w:right="15" w:firstLine="417"/>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检产品明示的质量要求高于本细则中检验项目依据的标准要求时，应按被检产品明</w:t>
      </w:r>
      <w:r>
        <w:rPr>
          <w:rFonts w:hint="default" w:ascii="Times New Roman" w:hAnsi="Times New Roman" w:eastAsia="宋体" w:cs="Times New Roman"/>
          <w:spacing w:val="12"/>
          <w:sz w:val="28"/>
          <w:szCs w:val="28"/>
        </w:rPr>
        <w:t>示</w:t>
      </w:r>
      <w:r>
        <w:rPr>
          <w:rFonts w:hint="default" w:ascii="Times New Roman" w:hAnsi="Times New Roman" w:eastAsia="宋体" w:cs="Times New Roman"/>
          <w:spacing w:val="7"/>
          <w:sz w:val="28"/>
          <w:szCs w:val="28"/>
        </w:rPr>
        <w:t>的质量要求判定。</w:t>
      </w:r>
    </w:p>
    <w:p w14:paraId="75BE4FFD">
      <w:pPr>
        <w:spacing w:before="1" w:line="406" w:lineRule="auto"/>
        <w:ind w:left="23" w:right="15" w:firstLine="417"/>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检产品明示的质量要求低于本细则中检验项目依据的强制性标准要求时，应按照强</w:t>
      </w:r>
      <w:r>
        <w:rPr>
          <w:rFonts w:hint="default" w:ascii="Times New Roman" w:hAnsi="Times New Roman" w:eastAsia="宋体" w:cs="Times New Roman"/>
          <w:spacing w:val="12"/>
          <w:sz w:val="28"/>
          <w:szCs w:val="28"/>
        </w:rPr>
        <w:t>制</w:t>
      </w:r>
      <w:r>
        <w:rPr>
          <w:rFonts w:hint="default" w:ascii="Times New Roman" w:hAnsi="Times New Roman" w:eastAsia="宋体" w:cs="Times New Roman"/>
          <w:spacing w:val="7"/>
          <w:sz w:val="28"/>
          <w:szCs w:val="28"/>
        </w:rPr>
        <w:t>性标准要求判定。</w:t>
      </w:r>
    </w:p>
    <w:p w14:paraId="11D18008">
      <w:pPr>
        <w:spacing w:before="1" w:line="405" w:lineRule="auto"/>
        <w:ind w:left="45" w:right="15" w:firstLine="394"/>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检产品明示的质量要求低于或包含本细则中检验项目依据的推荐性标准要求时，应以被检产品明示的质量要求判定。</w:t>
      </w:r>
    </w:p>
    <w:p w14:paraId="4E7C0D0F">
      <w:pPr>
        <w:spacing w:before="1" w:line="406" w:lineRule="auto"/>
        <w:ind w:left="23" w:right="15" w:firstLine="417"/>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检产品明示的质量要求缺少本细则中检验项目依据的强制性标准要求时，应按照强</w:t>
      </w:r>
      <w:r>
        <w:rPr>
          <w:rFonts w:hint="default" w:ascii="Times New Roman" w:hAnsi="Times New Roman" w:eastAsia="宋体" w:cs="Times New Roman"/>
          <w:spacing w:val="12"/>
          <w:sz w:val="28"/>
          <w:szCs w:val="28"/>
        </w:rPr>
        <w:t>制</w:t>
      </w:r>
      <w:r>
        <w:rPr>
          <w:rFonts w:hint="default" w:ascii="Times New Roman" w:hAnsi="Times New Roman" w:eastAsia="宋体" w:cs="Times New Roman"/>
          <w:spacing w:val="7"/>
          <w:sz w:val="28"/>
          <w:szCs w:val="28"/>
        </w:rPr>
        <w:t>性标准要求判定。</w:t>
      </w:r>
    </w:p>
    <w:p w14:paraId="7AFDDBEC">
      <w:pPr>
        <w:spacing w:before="1" w:line="412" w:lineRule="auto"/>
        <w:ind w:left="23" w:right="15" w:firstLine="416"/>
        <w:rPr>
          <w:rFonts w:hint="default" w:ascii="Times New Roman" w:hAnsi="Times New Roman" w:eastAsia="宋体" w:cs="Times New Roman"/>
          <w:sz w:val="28"/>
          <w:szCs w:val="28"/>
        </w:rPr>
      </w:pPr>
      <w:r>
        <w:rPr>
          <w:rFonts w:hint="default" w:ascii="Times New Roman" w:hAnsi="Times New Roman" w:eastAsia="宋体" w:cs="Times New Roman"/>
          <w:spacing w:val="14"/>
          <w:sz w:val="28"/>
          <w:szCs w:val="28"/>
        </w:rPr>
        <w:t>若</w:t>
      </w:r>
      <w:r>
        <w:rPr>
          <w:rFonts w:hint="default" w:ascii="Times New Roman" w:hAnsi="Times New Roman" w:eastAsia="宋体" w:cs="Times New Roman"/>
          <w:spacing w:val="11"/>
          <w:sz w:val="28"/>
          <w:szCs w:val="28"/>
        </w:rPr>
        <w:t>被</w:t>
      </w:r>
      <w:r>
        <w:rPr>
          <w:rFonts w:hint="default" w:ascii="Times New Roman" w:hAnsi="Times New Roman" w:eastAsia="宋体" w:cs="Times New Roman"/>
          <w:spacing w:val="7"/>
          <w:sz w:val="28"/>
          <w:szCs w:val="28"/>
        </w:rPr>
        <w:t>检产品明示的质量要求缺少本细则中检验项目依据的推荐性标准要求时，该项目不参</w:t>
      </w:r>
      <w:r>
        <w:rPr>
          <w:rFonts w:hint="default" w:ascii="Times New Roman" w:hAnsi="Times New Roman" w:eastAsia="宋体" w:cs="Times New Roman"/>
          <w:spacing w:val="5"/>
          <w:sz w:val="28"/>
          <w:szCs w:val="28"/>
        </w:rPr>
        <w:t>与判定。</w:t>
      </w:r>
    </w:p>
    <w:sectPr>
      <w:pgSz w:w="11906" w:h="16839"/>
      <w:pgMar w:top="1431" w:right="1785" w:bottom="1417"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efaultTabStop w:val="50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00000000"/>
    <w:rsid w:val="013947D1"/>
    <w:rsid w:val="02BE582C"/>
    <w:rsid w:val="063B05BA"/>
    <w:rsid w:val="06541118"/>
    <w:rsid w:val="08776FAB"/>
    <w:rsid w:val="0C8E650E"/>
    <w:rsid w:val="110231CD"/>
    <w:rsid w:val="14067033"/>
    <w:rsid w:val="14DB04C0"/>
    <w:rsid w:val="160E45D5"/>
    <w:rsid w:val="194B1768"/>
    <w:rsid w:val="19A53853"/>
    <w:rsid w:val="1A0A078A"/>
    <w:rsid w:val="1B7D52E9"/>
    <w:rsid w:val="1BB515BB"/>
    <w:rsid w:val="1C366F61"/>
    <w:rsid w:val="25A01C27"/>
    <w:rsid w:val="28700BD5"/>
    <w:rsid w:val="2E89456D"/>
    <w:rsid w:val="34C44675"/>
    <w:rsid w:val="353F6297"/>
    <w:rsid w:val="373372A5"/>
    <w:rsid w:val="39F17820"/>
    <w:rsid w:val="3C6607D9"/>
    <w:rsid w:val="4039120C"/>
    <w:rsid w:val="40CF27D7"/>
    <w:rsid w:val="42A849B4"/>
    <w:rsid w:val="47A44F19"/>
    <w:rsid w:val="497C0C22"/>
    <w:rsid w:val="49E10339"/>
    <w:rsid w:val="4A334E09"/>
    <w:rsid w:val="4A7F1081"/>
    <w:rsid w:val="4B8B4F59"/>
    <w:rsid w:val="4CB66E9B"/>
    <w:rsid w:val="4CBB5446"/>
    <w:rsid w:val="4D1B2303"/>
    <w:rsid w:val="4E7C2AD7"/>
    <w:rsid w:val="52803873"/>
    <w:rsid w:val="549873C3"/>
    <w:rsid w:val="5D704AEA"/>
    <w:rsid w:val="5EF656A8"/>
    <w:rsid w:val="60911000"/>
    <w:rsid w:val="674F5543"/>
    <w:rsid w:val="68EF43AF"/>
    <w:rsid w:val="6ADE50E6"/>
    <w:rsid w:val="6CAD3F94"/>
    <w:rsid w:val="6EDE3CA7"/>
    <w:rsid w:val="77195203"/>
    <w:rsid w:val="7C4C6EA2"/>
    <w:rsid w:val="7EF412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832</Words>
  <Characters>1046</Characters>
  <TotalTime>13</TotalTime>
  <ScaleCrop>false</ScaleCrop>
  <LinksUpToDate>false</LinksUpToDate>
  <CharactersWithSpaces>1090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2021-03-01T17:41:00Z</dcterms:created>
  <dc:creator>hp</dc:creator>
  <cp:lastModifiedBy>我是谁</cp:lastModifiedBy>
  <dcterms:modified xsi:type="dcterms:W3CDTF">2026-04-13T13:31:17Z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2023-02-28T00:00:59Z</vt:filetime>
  </property>
  <property fmtid="{D5CDD505-2E9C-101B-9397-08002B2CF9AE}" pid="4" name="KSOProductBuildVer">
    <vt:lpwstr>2052-12.1.0.25225</vt:lpwstr>
  </property>
  <property fmtid="{D5CDD505-2E9C-101B-9397-08002B2CF9AE}" pid="5" name="ICV">
    <vt:lpwstr>531232D8D1FF4633B9D9A78CD8C21CE4_13</vt:lpwstr>
  </property>
  <property fmtid="{D5CDD505-2E9C-101B-9397-08002B2CF9AE}" pid="6" name="KSOTemplateDocerSaveRecord">
    <vt:lpwstr>eyJoZGlkIjoiMmY5NjI0MjAwNmY2NTQ2MmUzMzc2Nzc3NWYyOTU2NzgiLCJ1c2VySWQiOiIxMTMwODI2NjcwIn0=</vt:lpwstr>
  </property>
</Properties>
</file>