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C9659">
      <w:pPr>
        <w:snapToGrid w:val="0"/>
        <w:spacing w:line="440" w:lineRule="exact"/>
        <w:jc w:val="center"/>
        <w:rPr>
          <w:rFonts w:hint="eastAsia" w:ascii="宋体" w:hAnsi="宋体" w:eastAsia="宋体" w:cs="宋体"/>
          <w:b/>
          <w:sz w:val="36"/>
          <w:szCs w:val="36"/>
          <w:lang w:val="en-US" w:eastAsia="zh-CN"/>
        </w:rPr>
      </w:pPr>
      <w:r>
        <w:rPr>
          <w:rFonts w:hint="eastAsia" w:ascii="宋体" w:hAnsi="宋体" w:eastAsia="宋体" w:cs="宋体"/>
          <w:b/>
          <w:sz w:val="36"/>
          <w:szCs w:val="36"/>
          <w:lang w:val="en-US" w:eastAsia="zh-CN"/>
        </w:rPr>
        <w:t>咸宁市商品煤产品质量监督抽查实施细则</w:t>
      </w:r>
    </w:p>
    <w:p w14:paraId="5201577E">
      <w:pPr>
        <w:snapToGrid w:val="0"/>
        <w:spacing w:line="440" w:lineRule="exact"/>
        <w:jc w:val="center"/>
        <w:rPr>
          <w:rFonts w:hint="eastAsia" w:ascii="仿宋" w:hAnsi="仿宋" w:eastAsia="仿宋"/>
          <w:b/>
          <w:bCs/>
          <w:sz w:val="36"/>
          <w:szCs w:val="36"/>
          <w:lang w:val="en-US" w:eastAsia="zh-CN"/>
        </w:rPr>
      </w:pPr>
      <w:r>
        <w:rPr>
          <w:rFonts w:hint="eastAsia" w:ascii="宋体" w:hAnsi="宋体" w:eastAsia="宋体" w:cs="宋体"/>
          <w:b/>
          <w:sz w:val="36"/>
          <w:szCs w:val="36"/>
          <w:lang w:val="en-US" w:eastAsia="zh-CN"/>
        </w:rPr>
        <w:t>（202</w:t>
      </w:r>
      <w:r>
        <w:rPr>
          <w:rFonts w:hint="eastAsia" w:ascii="宋体" w:hAnsi="宋体" w:cs="宋体"/>
          <w:b/>
          <w:sz w:val="36"/>
          <w:szCs w:val="36"/>
          <w:lang w:val="en-US" w:eastAsia="zh-CN"/>
        </w:rPr>
        <w:t>6</w:t>
      </w:r>
      <w:r>
        <w:rPr>
          <w:rFonts w:hint="eastAsia" w:ascii="宋体" w:hAnsi="宋体" w:eastAsia="宋体" w:cs="宋体"/>
          <w:b/>
          <w:sz w:val="36"/>
          <w:szCs w:val="36"/>
          <w:lang w:val="en-US" w:eastAsia="zh-CN"/>
        </w:rPr>
        <w:t>年版）</w:t>
      </w:r>
    </w:p>
    <w:p w14:paraId="51BA50B3">
      <w:pPr>
        <w:widowControl/>
        <w:kinsoku w:val="0"/>
        <w:autoSpaceDE w:val="0"/>
        <w:autoSpaceDN w:val="0"/>
        <w:adjustRightInd w:val="0"/>
        <w:snapToGrid w:val="0"/>
        <w:spacing w:before="193" w:line="406" w:lineRule="auto"/>
        <w:jc w:val="left"/>
        <w:textAlignment w:val="baseline"/>
        <w:rPr>
          <w:rFonts w:hint="eastAsia" w:ascii="Times New Roman" w:hAnsi="Times New Roman" w:eastAsia="宋体" w:cs="Times New Roman"/>
          <w:snapToGrid w:val="0"/>
          <w:color w:val="000000"/>
          <w:spacing w:val="6"/>
          <w:kern w:val="0"/>
          <w:sz w:val="28"/>
          <w:szCs w:val="28"/>
        </w:rPr>
      </w:pPr>
      <w:r>
        <w:rPr>
          <w:rFonts w:hint="eastAsia" w:ascii="Times New Roman" w:hAnsi="Times New Roman" w:eastAsia="宋体" w:cs="Times New Roman"/>
          <w:b/>
          <w:bCs/>
          <w:snapToGrid w:val="0"/>
          <w:color w:val="000000"/>
          <w:spacing w:val="6"/>
          <w:kern w:val="0"/>
          <w:sz w:val="28"/>
          <w:szCs w:val="28"/>
          <w:lang w:val="en-US" w:eastAsia="zh-CN"/>
        </w:rPr>
        <w:t>1 抽样方法</w:t>
      </w:r>
      <w:r>
        <w:rPr>
          <w:rFonts w:hint="eastAsia" w:ascii="Times New Roman" w:hAnsi="Times New Roman" w:eastAsia="宋体" w:cs="Times New Roman"/>
          <w:snapToGrid w:val="0"/>
          <w:color w:val="000000"/>
          <w:spacing w:val="6"/>
          <w:kern w:val="0"/>
          <w:sz w:val="28"/>
          <w:szCs w:val="28"/>
          <w:lang w:val="en-US" w:eastAsia="zh-CN"/>
        </w:rPr>
        <w:t xml:space="preserve"> </w:t>
      </w:r>
    </w:p>
    <w:p w14:paraId="580D377D">
      <w:pPr>
        <w:spacing w:line="360" w:lineRule="auto"/>
        <w:ind w:firstLine="560" w:firstLine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以随机抽样的方式在被抽样生产者、销售者的待销产品中抽取。</w:t>
      </w:r>
    </w:p>
    <w:p w14:paraId="7B4B3E6B">
      <w:pPr>
        <w:spacing w:line="360" w:lineRule="auto"/>
        <w:ind w:firstLine="560" w:firstLine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随机数一般可使用随机数表等方法产生。</w:t>
      </w:r>
    </w:p>
    <w:p w14:paraId="2EDA3B00">
      <w:pPr>
        <w:spacing w:line="360" w:lineRule="auto"/>
        <w:ind w:firstLine="560" w:firstLine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采用 GB 475-2008《商品煤样人工采取方法》标准方法在商品煤销售、使用企业煤堆进行采样。并根据实际情况采用 GB/T 474-2008 在现场进行样品缩分。</w:t>
      </w:r>
    </w:p>
    <w:p w14:paraId="306CE007">
      <w:pPr>
        <w:spacing w:line="360" w:lineRule="auto"/>
        <w:rPr>
          <w:rFonts w:hint="eastAsia"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2 检验要求</w:t>
      </w:r>
    </w:p>
    <w:p w14:paraId="06E8776C">
      <w:pPr>
        <w:spacing w:line="360" w:lineRule="auto"/>
        <w:jc w:val="center"/>
        <w:rPr>
          <w:rFonts w:hint="default"/>
          <w:b w:val="0"/>
          <w:bCs w:val="0"/>
          <w:sz w:val="24"/>
          <w:szCs w:val="32"/>
          <w:lang w:val="en-US" w:eastAsia="zh-CN"/>
        </w:rPr>
      </w:pPr>
      <w:r>
        <w:rPr>
          <w:rFonts w:hint="eastAsia" w:ascii="宋体" w:hAnsi="宋体" w:eastAsia="宋体" w:cs="宋体"/>
          <w:bCs/>
          <w:sz w:val="28"/>
          <w:szCs w:val="28"/>
          <w:lang w:val="en-US" w:eastAsia="zh-CN"/>
        </w:rPr>
        <w:t xml:space="preserve">表1 </w:t>
      </w:r>
      <w:r>
        <w:rPr>
          <w:rFonts w:hint="eastAsia" w:ascii="宋体" w:hAnsi="宋体" w:eastAsia="宋体" w:cs="宋体"/>
          <w:sz w:val="28"/>
          <w:szCs w:val="28"/>
          <w:lang w:val="en-US" w:eastAsia="zh-CN"/>
        </w:rPr>
        <w:t>民用型煤</w:t>
      </w:r>
      <w:r>
        <w:rPr>
          <w:rFonts w:hint="eastAsia" w:ascii="宋体" w:hAnsi="宋体" w:eastAsia="宋体" w:cs="宋体"/>
          <w:bCs/>
          <w:sz w:val="28"/>
          <w:szCs w:val="28"/>
          <w:lang w:val="en-US" w:eastAsia="zh-CN"/>
        </w:rPr>
        <w:t>检验项目</w:t>
      </w:r>
    </w:p>
    <w:tbl>
      <w:tblPr>
        <w:tblStyle w:val="3"/>
        <w:tblW w:w="92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2364"/>
        <w:gridCol w:w="2839"/>
        <w:gridCol w:w="2839"/>
      </w:tblGrid>
      <w:tr w14:paraId="129F6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217" w:type="dxa"/>
            <w:noWrap w:val="0"/>
            <w:vAlign w:val="center"/>
          </w:tcPr>
          <w:p w14:paraId="0E1A2C7F">
            <w:pPr>
              <w:snapToGrid w:val="0"/>
              <w:spacing w:line="440" w:lineRule="exact"/>
              <w:jc w:val="cente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序号</w:t>
            </w:r>
          </w:p>
        </w:tc>
        <w:tc>
          <w:tcPr>
            <w:tcW w:w="2364" w:type="dxa"/>
            <w:noWrap w:val="0"/>
            <w:vAlign w:val="center"/>
          </w:tcPr>
          <w:p w14:paraId="42006892">
            <w:pPr>
              <w:snapToGrid w:val="0"/>
              <w:spacing w:line="440" w:lineRule="exact"/>
              <w:jc w:val="cente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检验项目</w:t>
            </w:r>
          </w:p>
        </w:tc>
        <w:tc>
          <w:tcPr>
            <w:tcW w:w="2839" w:type="dxa"/>
            <w:noWrap w:val="0"/>
            <w:vAlign w:val="center"/>
          </w:tcPr>
          <w:p w14:paraId="0A6B2C22">
            <w:pPr>
              <w:snapToGrid w:val="0"/>
              <w:spacing w:line="440" w:lineRule="exact"/>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检验依据</w:t>
            </w:r>
          </w:p>
        </w:tc>
        <w:tc>
          <w:tcPr>
            <w:tcW w:w="2839" w:type="dxa"/>
            <w:noWrap w:val="0"/>
            <w:vAlign w:val="center"/>
          </w:tcPr>
          <w:p w14:paraId="286B3243">
            <w:pPr>
              <w:snapToGrid w:val="0"/>
              <w:spacing w:line="440" w:lineRule="exact"/>
              <w:jc w:val="cente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检验方法</w:t>
            </w:r>
          </w:p>
        </w:tc>
      </w:tr>
      <w:tr w14:paraId="057A6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17" w:type="dxa"/>
            <w:noWrap w:val="0"/>
            <w:vAlign w:val="center"/>
          </w:tcPr>
          <w:p w14:paraId="2D5B5490">
            <w:pPr>
              <w:snapToGrid w:val="0"/>
              <w:spacing w:line="440" w:lineRule="exac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w:t>
            </w:r>
          </w:p>
        </w:tc>
        <w:tc>
          <w:tcPr>
            <w:tcW w:w="2364" w:type="dxa"/>
            <w:noWrap w:val="0"/>
            <w:vAlign w:val="center"/>
          </w:tcPr>
          <w:p w14:paraId="698B719C">
            <w:pPr>
              <w:keepNext w:val="0"/>
              <w:keepLines w:val="0"/>
              <w:widowControl/>
              <w:suppressLineNumbers w:val="0"/>
              <w:jc w:val="center"/>
              <w:rPr>
                <w:rFonts w:hint="eastAsia" w:ascii="宋体" w:hAnsi="宋体" w:eastAsia="宋体" w:cs="宋体"/>
                <w:sz w:val="24"/>
                <w:szCs w:val="24"/>
                <w:lang w:val="en-US" w:eastAsia="zh-CN"/>
              </w:rPr>
            </w:pPr>
            <w:r>
              <w:rPr>
                <w:rFonts w:ascii="瀹嬩綋" w:hAnsi="瀹嬩綋" w:eastAsia="瀹嬩綋" w:cs="瀹嬩綋"/>
                <w:color w:val="000000"/>
                <w:kern w:val="0"/>
                <w:sz w:val="21"/>
                <w:szCs w:val="21"/>
                <w:lang w:val="en-US" w:eastAsia="zh-CN" w:bidi="ar"/>
              </w:rPr>
              <w:t>全硫（</w:t>
            </w:r>
            <w:r>
              <w:rPr>
                <w:rFonts w:hint="default" w:ascii="Times New Roman" w:hAnsi="Times New Roman" w:eastAsia="宋体" w:cs="Times New Roman"/>
                <w:color w:val="000000"/>
                <w:kern w:val="0"/>
                <w:sz w:val="21"/>
                <w:szCs w:val="21"/>
                <w:lang w:val="en-US" w:eastAsia="zh-CN" w:bidi="ar"/>
              </w:rPr>
              <w:t>S</w:t>
            </w:r>
            <w:r>
              <w:rPr>
                <w:rFonts w:hint="default" w:ascii="Times New Roman" w:hAnsi="Times New Roman" w:eastAsia="宋体" w:cs="Times New Roman"/>
                <w:color w:val="000000"/>
                <w:kern w:val="0"/>
                <w:sz w:val="13"/>
                <w:szCs w:val="13"/>
                <w:lang w:val="en-US" w:eastAsia="zh-CN" w:bidi="ar"/>
              </w:rPr>
              <w:t>t</w:t>
            </w:r>
            <w:r>
              <w:rPr>
                <w:rFonts w:hint="default" w:ascii="瀹嬩綋" w:hAnsi="瀹嬩綋" w:eastAsia="瀹嬩綋" w:cs="瀹嬩綋"/>
                <w:color w:val="000000"/>
                <w:kern w:val="0"/>
                <w:sz w:val="11"/>
                <w:szCs w:val="11"/>
                <w:lang w:val="en-US" w:eastAsia="zh-CN" w:bidi="ar"/>
              </w:rPr>
              <w:t>，</w:t>
            </w:r>
            <w:r>
              <w:rPr>
                <w:rFonts w:hint="default" w:ascii="Times New Roman" w:hAnsi="Times New Roman" w:eastAsia="宋体" w:cs="Times New Roman"/>
                <w:color w:val="000000"/>
                <w:kern w:val="0"/>
                <w:sz w:val="13"/>
                <w:szCs w:val="13"/>
                <w:lang w:val="en-US" w:eastAsia="zh-CN" w:bidi="ar"/>
              </w:rPr>
              <w:t>d</w:t>
            </w:r>
            <w:r>
              <w:rPr>
                <w:rFonts w:hint="default" w:ascii="瀹嬩綋" w:hAnsi="瀹嬩綋" w:eastAsia="瀹嬩綋" w:cs="瀹嬩綋"/>
                <w:color w:val="000000"/>
                <w:kern w:val="0"/>
                <w:sz w:val="21"/>
                <w:szCs w:val="21"/>
                <w:lang w:val="en-US" w:eastAsia="zh-CN" w:bidi="ar"/>
              </w:rPr>
              <w:t>）</w:t>
            </w:r>
          </w:p>
        </w:tc>
        <w:tc>
          <w:tcPr>
            <w:tcW w:w="2839" w:type="dxa"/>
            <w:noWrap w:val="0"/>
            <w:vAlign w:val="center"/>
          </w:tcPr>
          <w:p w14:paraId="6861BE2B">
            <w:pPr>
              <w:snapToGrid w:val="0"/>
              <w:spacing w:line="440" w:lineRule="exact"/>
              <w:jc w:val="center"/>
              <w:rPr>
                <w:rFonts w:hint="default" w:ascii="宋体" w:hAnsi="宋体" w:eastAsia="宋体" w:cs="宋体"/>
                <w:sz w:val="22"/>
                <w:szCs w:val="22"/>
                <w:lang w:val="en-US" w:eastAsia="zh-CN"/>
              </w:rPr>
            </w:pPr>
            <w:r>
              <w:rPr>
                <w:rFonts w:hint="eastAsia" w:ascii="宋体" w:hAnsi="宋体" w:eastAsia="宋体" w:cs="宋体"/>
                <w:sz w:val="24"/>
                <w:szCs w:val="24"/>
                <w:lang w:val="en-US" w:eastAsia="zh-CN"/>
              </w:rPr>
              <w:t>GB 34170-2017</w:t>
            </w:r>
          </w:p>
        </w:tc>
        <w:tc>
          <w:tcPr>
            <w:tcW w:w="2839" w:type="dxa"/>
            <w:noWrap w:val="0"/>
            <w:vAlign w:val="center"/>
          </w:tcPr>
          <w:p w14:paraId="435161B0">
            <w:pPr>
              <w:snapToGrid w:val="0"/>
              <w:spacing w:line="440" w:lineRule="exact"/>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GB</w:t>
            </w:r>
            <w:r>
              <w:rPr>
                <w:rFonts w:hint="eastAsia" w:ascii="宋体" w:hAnsi="宋体" w:eastAsia="宋体" w:cs="宋体"/>
                <w:sz w:val="24"/>
                <w:szCs w:val="24"/>
                <w:lang w:val="en-US" w:eastAsia="zh-CN"/>
              </w:rPr>
              <w:t>/T</w:t>
            </w:r>
            <w:r>
              <w:rPr>
                <w:rFonts w:hint="default" w:ascii="宋体" w:hAnsi="宋体" w:eastAsia="宋体" w:cs="宋体"/>
                <w:sz w:val="24"/>
                <w:szCs w:val="24"/>
                <w:lang w:val="en-US" w:eastAsia="zh-CN"/>
              </w:rPr>
              <w:t xml:space="preserve"> 21</w:t>
            </w:r>
            <w:r>
              <w:rPr>
                <w:rFonts w:hint="eastAsia" w:ascii="宋体" w:hAnsi="宋体" w:eastAsia="宋体" w:cs="宋体"/>
                <w:sz w:val="24"/>
                <w:szCs w:val="24"/>
                <w:lang w:val="en-US" w:eastAsia="zh-CN"/>
              </w:rPr>
              <w:t>4</w:t>
            </w:r>
            <w:r>
              <w:rPr>
                <w:rFonts w:hint="default" w:ascii="宋体" w:hAnsi="宋体" w:eastAsia="宋体" w:cs="宋体"/>
                <w:sz w:val="24"/>
                <w:szCs w:val="24"/>
                <w:lang w:val="en-US" w:eastAsia="zh-CN"/>
              </w:rPr>
              <w:t>-200</w:t>
            </w:r>
            <w:r>
              <w:rPr>
                <w:rFonts w:hint="eastAsia" w:ascii="宋体" w:hAnsi="宋体" w:eastAsia="宋体" w:cs="宋体"/>
                <w:sz w:val="24"/>
                <w:szCs w:val="24"/>
                <w:lang w:val="en-US" w:eastAsia="zh-CN"/>
              </w:rPr>
              <w:t>7</w:t>
            </w:r>
          </w:p>
        </w:tc>
      </w:tr>
      <w:tr w14:paraId="05CBB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noWrap w:val="0"/>
            <w:vAlign w:val="center"/>
          </w:tcPr>
          <w:p w14:paraId="52DC0C02">
            <w:pPr>
              <w:snapToGrid w:val="0"/>
              <w:spacing w:line="440" w:lineRule="exac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2</w:t>
            </w:r>
          </w:p>
        </w:tc>
        <w:tc>
          <w:tcPr>
            <w:tcW w:w="2364" w:type="dxa"/>
            <w:noWrap w:val="0"/>
            <w:vAlign w:val="center"/>
          </w:tcPr>
          <w:p w14:paraId="72D493C8">
            <w:pPr>
              <w:snapToGrid w:val="0"/>
              <w:spacing w:line="44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磷含量（P</w:t>
            </w:r>
            <w:r>
              <w:rPr>
                <w:rFonts w:hint="eastAsia" w:ascii="宋体" w:hAnsi="宋体" w:eastAsia="宋体" w:cs="宋体"/>
                <w:sz w:val="24"/>
                <w:szCs w:val="24"/>
                <w:vertAlign w:val="subscript"/>
                <w:lang w:val="en-US" w:eastAsia="zh-CN"/>
              </w:rPr>
              <w:t>d</w:t>
            </w:r>
            <w:r>
              <w:rPr>
                <w:rFonts w:hint="eastAsia" w:ascii="宋体" w:hAnsi="宋体" w:eastAsia="宋体" w:cs="宋体"/>
                <w:sz w:val="24"/>
                <w:szCs w:val="24"/>
                <w:lang w:val="en-US" w:eastAsia="zh-CN"/>
              </w:rPr>
              <w:t>）</w:t>
            </w:r>
          </w:p>
        </w:tc>
        <w:tc>
          <w:tcPr>
            <w:tcW w:w="2839" w:type="dxa"/>
            <w:noWrap w:val="0"/>
            <w:vAlign w:val="center"/>
          </w:tcPr>
          <w:p w14:paraId="07040D99">
            <w:pPr>
              <w:snapToGrid w:val="0"/>
              <w:spacing w:line="440" w:lineRule="exact"/>
              <w:jc w:val="center"/>
              <w:rPr>
                <w:rFonts w:hint="default" w:ascii="宋体" w:hAnsi="宋体" w:eastAsia="宋体" w:cs="宋体"/>
                <w:sz w:val="22"/>
                <w:szCs w:val="22"/>
                <w:lang w:val="en-US" w:eastAsia="zh-CN"/>
              </w:rPr>
            </w:pPr>
            <w:r>
              <w:rPr>
                <w:rFonts w:hint="eastAsia" w:ascii="宋体" w:hAnsi="宋体" w:eastAsia="宋体" w:cs="宋体"/>
                <w:sz w:val="24"/>
                <w:szCs w:val="24"/>
                <w:lang w:val="en-US" w:eastAsia="zh-CN"/>
              </w:rPr>
              <w:t>GB 34170-2017</w:t>
            </w:r>
          </w:p>
        </w:tc>
        <w:tc>
          <w:tcPr>
            <w:tcW w:w="2839" w:type="dxa"/>
            <w:noWrap w:val="0"/>
            <w:vAlign w:val="center"/>
          </w:tcPr>
          <w:p w14:paraId="7BA48500">
            <w:pPr>
              <w:snapToGrid w:val="0"/>
              <w:spacing w:line="440" w:lineRule="exact"/>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GB</w:t>
            </w:r>
            <w:r>
              <w:rPr>
                <w:rFonts w:hint="eastAsia" w:ascii="宋体" w:hAnsi="宋体" w:eastAsia="宋体" w:cs="宋体"/>
                <w:sz w:val="24"/>
                <w:szCs w:val="24"/>
                <w:lang w:val="en-US" w:eastAsia="zh-CN"/>
              </w:rPr>
              <w:t>/T</w:t>
            </w:r>
            <w:r>
              <w:rPr>
                <w:rFonts w:hint="default" w:ascii="宋体" w:hAnsi="宋体" w:eastAsia="宋体" w:cs="宋体"/>
                <w:sz w:val="24"/>
                <w:szCs w:val="24"/>
                <w:lang w:val="en-US" w:eastAsia="zh-CN"/>
              </w:rPr>
              <w:t xml:space="preserve"> </w:t>
            </w:r>
            <w:r>
              <w:rPr>
                <w:rFonts w:hint="eastAsia" w:ascii="宋体" w:hAnsi="宋体" w:eastAsia="宋体" w:cs="宋体"/>
                <w:sz w:val="24"/>
                <w:szCs w:val="24"/>
                <w:lang w:val="en-US" w:eastAsia="zh-CN"/>
              </w:rPr>
              <w:t>216-2003</w:t>
            </w:r>
          </w:p>
        </w:tc>
      </w:tr>
      <w:tr w14:paraId="35CE8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noWrap w:val="0"/>
            <w:vAlign w:val="center"/>
          </w:tcPr>
          <w:p w14:paraId="0F981F69">
            <w:pPr>
              <w:snapToGrid w:val="0"/>
              <w:spacing w:line="440" w:lineRule="exac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3</w:t>
            </w:r>
          </w:p>
        </w:tc>
        <w:tc>
          <w:tcPr>
            <w:tcW w:w="2364" w:type="dxa"/>
            <w:noWrap w:val="0"/>
            <w:vAlign w:val="center"/>
          </w:tcPr>
          <w:p w14:paraId="5B0B58A7">
            <w:pPr>
              <w:keepNext w:val="0"/>
              <w:keepLines w:val="0"/>
              <w:widowControl/>
              <w:suppressLineNumbers w:val="0"/>
              <w:jc w:val="center"/>
              <w:rPr>
                <w:rFonts w:hint="default" w:ascii="宋体" w:hAnsi="宋体" w:eastAsia="宋体" w:cs="宋体"/>
                <w:sz w:val="24"/>
                <w:szCs w:val="24"/>
                <w:lang w:val="en-US" w:eastAsia="zh-CN"/>
              </w:rPr>
            </w:pPr>
            <w:r>
              <w:rPr>
                <w:rFonts w:ascii="瀹嬩綋" w:hAnsi="瀹嬩綋" w:eastAsia="瀹嬩綋" w:cs="瀹嬩綋"/>
                <w:color w:val="000000"/>
                <w:kern w:val="0"/>
                <w:sz w:val="21"/>
                <w:szCs w:val="21"/>
                <w:lang w:val="en-US" w:eastAsia="zh-CN" w:bidi="ar"/>
              </w:rPr>
              <w:t>氯含量（</w:t>
            </w:r>
            <w:r>
              <w:rPr>
                <w:rFonts w:hint="default" w:ascii="Times New Roman" w:hAnsi="Times New Roman" w:eastAsia="宋体" w:cs="Times New Roman"/>
                <w:color w:val="000000"/>
                <w:kern w:val="0"/>
                <w:sz w:val="21"/>
                <w:szCs w:val="21"/>
                <w:lang w:val="en-US" w:eastAsia="zh-CN" w:bidi="ar"/>
              </w:rPr>
              <w:t>Cl</w:t>
            </w:r>
            <w:r>
              <w:rPr>
                <w:rFonts w:hint="default" w:ascii="Times New Roman" w:hAnsi="Times New Roman" w:eastAsia="宋体" w:cs="Times New Roman"/>
                <w:color w:val="000000"/>
                <w:kern w:val="0"/>
                <w:sz w:val="13"/>
                <w:szCs w:val="13"/>
                <w:lang w:val="en-US" w:eastAsia="zh-CN" w:bidi="ar"/>
              </w:rPr>
              <w:t>d</w:t>
            </w:r>
            <w:r>
              <w:rPr>
                <w:rFonts w:hint="default" w:ascii="瀹嬩綋" w:hAnsi="瀹嬩綋" w:eastAsia="瀹嬩綋" w:cs="瀹嬩綋"/>
                <w:color w:val="000000"/>
                <w:kern w:val="0"/>
                <w:sz w:val="21"/>
                <w:szCs w:val="21"/>
                <w:lang w:val="en-US" w:eastAsia="zh-CN" w:bidi="ar"/>
              </w:rPr>
              <w:t>）</w:t>
            </w:r>
          </w:p>
        </w:tc>
        <w:tc>
          <w:tcPr>
            <w:tcW w:w="2839" w:type="dxa"/>
            <w:noWrap w:val="0"/>
            <w:vAlign w:val="center"/>
          </w:tcPr>
          <w:p w14:paraId="03D54F8E">
            <w:pPr>
              <w:snapToGrid w:val="0"/>
              <w:spacing w:line="440" w:lineRule="exact"/>
              <w:jc w:val="center"/>
              <w:rPr>
                <w:rFonts w:hint="eastAsia" w:ascii="宋体" w:hAnsi="宋体" w:eastAsia="宋体" w:cs="宋体"/>
                <w:sz w:val="22"/>
                <w:szCs w:val="22"/>
                <w:lang w:val="en-US" w:eastAsia="zh-CN"/>
              </w:rPr>
            </w:pPr>
            <w:r>
              <w:rPr>
                <w:rFonts w:hint="eastAsia" w:ascii="宋体" w:hAnsi="宋体" w:eastAsia="宋体" w:cs="宋体"/>
                <w:sz w:val="24"/>
                <w:szCs w:val="24"/>
                <w:lang w:val="en-US" w:eastAsia="zh-CN"/>
              </w:rPr>
              <w:t>GB 34170-2017</w:t>
            </w:r>
            <w:bookmarkStart w:id="0" w:name="_GoBack"/>
            <w:bookmarkEnd w:id="0"/>
          </w:p>
        </w:tc>
        <w:tc>
          <w:tcPr>
            <w:tcW w:w="2839" w:type="dxa"/>
            <w:noWrap w:val="0"/>
            <w:vAlign w:val="center"/>
          </w:tcPr>
          <w:p w14:paraId="3840136F">
            <w:pPr>
              <w:snapToGrid w:val="0"/>
              <w:spacing w:line="44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GB/T 3558-2014</w:t>
            </w:r>
          </w:p>
        </w:tc>
      </w:tr>
    </w:tbl>
    <w:p w14:paraId="28166166">
      <w:pPr>
        <w:jc w:val="both"/>
        <w:rPr>
          <w:rFonts w:hint="default"/>
          <w:b/>
          <w:bCs/>
          <w:sz w:val="24"/>
          <w:szCs w:val="32"/>
          <w:lang w:val="en-US" w:eastAsia="zh-CN"/>
        </w:rPr>
      </w:pPr>
    </w:p>
    <w:p w14:paraId="40F5F81B">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执行企业标准、团体标准、地方标准的产品，检验项目参照上述内容执行。 </w:t>
      </w:r>
    </w:p>
    <w:p w14:paraId="2843C998">
      <w:pPr>
        <w:spacing w:line="360" w:lineRule="auto"/>
        <w:ind w:firstLine="560" w:firstLineChars="200"/>
        <w:rPr>
          <w:rFonts w:hint="eastAsia" w:ascii="宋体" w:hAnsi="宋体" w:eastAsia="宋体" w:cs="宋体"/>
          <w:b/>
          <w:sz w:val="28"/>
          <w:szCs w:val="28"/>
        </w:rPr>
      </w:pPr>
      <w:r>
        <w:rPr>
          <w:rFonts w:hint="eastAsia" w:ascii="宋体" w:hAnsi="宋体" w:eastAsia="宋体" w:cs="宋体"/>
          <w:sz w:val="28"/>
          <w:szCs w:val="28"/>
          <w:lang w:val="en-US" w:eastAsia="zh-CN"/>
        </w:rPr>
        <w:t>凡是注日期的文件，其随后所有的修改单（不包括勘误的内容）或修订版不适用于本细则。凡是不注日期的文件，其最新版本适用于本细则。</w:t>
      </w:r>
    </w:p>
    <w:p w14:paraId="570D8367">
      <w:pPr>
        <w:snapToGrid w:val="0"/>
        <w:spacing w:line="440" w:lineRule="exact"/>
        <w:rPr>
          <w:rFonts w:hint="eastAsia" w:ascii="宋体" w:hAnsi="宋体" w:eastAsia="宋体" w:cs="宋体"/>
          <w:b/>
          <w:sz w:val="28"/>
          <w:szCs w:val="28"/>
          <w:lang w:val="en-US" w:eastAsia="zh-CN"/>
        </w:rPr>
      </w:pPr>
      <w:r>
        <w:rPr>
          <w:rFonts w:hint="default" w:ascii="宋体" w:hAnsi="宋体" w:eastAsia="宋体" w:cs="宋体"/>
          <w:b/>
          <w:sz w:val="28"/>
          <w:szCs w:val="28"/>
          <w:lang w:val="en-US" w:eastAsia="zh-CN"/>
        </w:rPr>
        <w:t xml:space="preserve">3 </w:t>
      </w:r>
      <w:r>
        <w:rPr>
          <w:rFonts w:hint="eastAsia" w:ascii="宋体" w:hAnsi="宋体" w:eastAsia="宋体" w:cs="宋体"/>
          <w:b/>
          <w:sz w:val="28"/>
          <w:szCs w:val="28"/>
          <w:lang w:val="en-US" w:eastAsia="zh-CN"/>
        </w:rPr>
        <w:t>判定规则</w:t>
      </w:r>
    </w:p>
    <w:p w14:paraId="456244D9">
      <w:pPr>
        <w:spacing w:line="360" w:lineRule="auto"/>
        <w:rPr>
          <w:rFonts w:hint="eastAsia" w:ascii="宋体" w:hAnsi="宋体" w:eastAsia="宋体" w:cs="宋体"/>
          <w:sz w:val="28"/>
          <w:szCs w:val="28"/>
          <w:lang w:val="en-US" w:eastAsia="zh-CN"/>
        </w:rPr>
      </w:pPr>
      <w:r>
        <w:rPr>
          <w:rFonts w:hint="default" w:ascii="宋体" w:hAnsi="宋体" w:eastAsia="宋体" w:cs="宋体"/>
          <w:sz w:val="28"/>
          <w:szCs w:val="28"/>
          <w:lang w:val="en-US" w:eastAsia="zh-CN"/>
        </w:rPr>
        <w:t xml:space="preserve">3.1 </w:t>
      </w:r>
      <w:r>
        <w:rPr>
          <w:rFonts w:hint="eastAsia" w:ascii="宋体" w:hAnsi="宋体" w:eastAsia="宋体" w:cs="宋体"/>
          <w:sz w:val="28"/>
          <w:szCs w:val="28"/>
          <w:lang w:val="en-US" w:eastAsia="zh-CN"/>
        </w:rPr>
        <w:t xml:space="preserve">依据标准 </w:t>
      </w:r>
    </w:p>
    <w:p w14:paraId="2B43B313">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 34170-2017 商品煤质量 民用型煤</w:t>
      </w:r>
    </w:p>
    <w:p w14:paraId="7742745E">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经备案现行有效的企业标准及产品明示质量要求</w:t>
      </w:r>
      <w:r>
        <w:rPr>
          <w:rFonts w:hint="eastAsia" w:ascii="宋体" w:hAnsi="宋体" w:cs="宋体"/>
          <w:sz w:val="28"/>
          <w:szCs w:val="28"/>
          <w:lang w:val="en-US" w:eastAsia="zh-CN"/>
        </w:rPr>
        <w:t>。</w:t>
      </w:r>
    </w:p>
    <w:p w14:paraId="41AEFD05">
      <w:pPr>
        <w:spacing w:line="360" w:lineRule="auto"/>
        <w:rPr>
          <w:rFonts w:hint="eastAsia" w:ascii="宋体" w:hAnsi="宋体" w:eastAsia="宋体" w:cs="宋体"/>
          <w:sz w:val="28"/>
          <w:szCs w:val="28"/>
          <w:lang w:val="en-US" w:eastAsia="zh-CN"/>
        </w:rPr>
      </w:pPr>
      <w:r>
        <w:rPr>
          <w:rFonts w:hint="default" w:ascii="宋体" w:hAnsi="宋体" w:eastAsia="宋体" w:cs="宋体"/>
          <w:sz w:val="28"/>
          <w:szCs w:val="28"/>
          <w:lang w:val="en-US" w:eastAsia="zh-CN"/>
        </w:rPr>
        <w:t xml:space="preserve">3.2 </w:t>
      </w:r>
      <w:r>
        <w:rPr>
          <w:rFonts w:hint="eastAsia" w:ascii="宋体" w:hAnsi="宋体" w:eastAsia="宋体" w:cs="宋体"/>
          <w:sz w:val="28"/>
          <w:szCs w:val="28"/>
          <w:lang w:val="en-US" w:eastAsia="zh-CN"/>
        </w:rPr>
        <w:t xml:space="preserve">判定原则 </w:t>
      </w:r>
    </w:p>
    <w:p w14:paraId="38A3A36C">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经检验，检验项目全部合格，判定为被抽查产品所检项目未发现不合格；检验项目中任一项或一项以上不合格，判定为被抽查产品不合格。</w:t>
      </w:r>
    </w:p>
    <w:p w14:paraId="66E681AE">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若被检产品明示的质量要求高于本细则中检验项目依据的标准要求时，应按被检产品明示的质量要求判定。</w:t>
      </w:r>
    </w:p>
    <w:p w14:paraId="3FFFC731">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若被检产品明示的质量要求低于本细则中检验项目依据的强制性标准要求时，应按照强制性标准要求判定。</w:t>
      </w:r>
    </w:p>
    <w:p w14:paraId="0089C29D">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若被检产品明示的质量要求低于或包含本细则中检验项目依据的推荐性标准要求时，应以被检产品明示的质量要求判定。</w:t>
      </w:r>
    </w:p>
    <w:p w14:paraId="20331A2E">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若被检产品明示的质量要求缺少本细则中检验项目依据的强制性标准要求时，应按照强制性标准要求判定。</w:t>
      </w:r>
    </w:p>
    <w:p w14:paraId="4696E421">
      <w:pPr>
        <w:spacing w:line="360" w:lineRule="auto"/>
        <w:ind w:firstLine="560" w:firstLineChars="200"/>
        <w:rPr>
          <w:rFonts w:hint="eastAsia" w:ascii="宋体" w:hAnsi="宋体" w:eastAsia="宋体" w:cs="宋体"/>
          <w:bCs/>
          <w:sz w:val="28"/>
          <w:szCs w:val="28"/>
          <w:lang w:val="en-US" w:eastAsia="zh-CN"/>
        </w:rPr>
      </w:pPr>
      <w:r>
        <w:rPr>
          <w:rFonts w:hint="eastAsia" w:ascii="宋体" w:hAnsi="宋体" w:eastAsia="宋体" w:cs="宋体"/>
          <w:bCs/>
          <w:sz w:val="28"/>
          <w:szCs w:val="28"/>
        </w:rPr>
        <w:t>若被检产品明示的质量要求缺少本细则中检验项目依据的推荐性标准要求时，该项目不参与判定。</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瀹嬩綋">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hZmY5MDRlNjYzMTUxMjNmNjkxZmI3NmY1Njk3MmYifQ=="/>
  </w:docVars>
  <w:rsids>
    <w:rsidRoot w:val="2EF0269D"/>
    <w:rsid w:val="032A680B"/>
    <w:rsid w:val="047C6844"/>
    <w:rsid w:val="059454B6"/>
    <w:rsid w:val="1969569A"/>
    <w:rsid w:val="1A21023E"/>
    <w:rsid w:val="1FFA3D33"/>
    <w:rsid w:val="25617026"/>
    <w:rsid w:val="29BD5F8E"/>
    <w:rsid w:val="2AC02BF6"/>
    <w:rsid w:val="2ACF2620"/>
    <w:rsid w:val="2EF0269D"/>
    <w:rsid w:val="2F0C35AE"/>
    <w:rsid w:val="33102F98"/>
    <w:rsid w:val="3C326368"/>
    <w:rsid w:val="3C8F7316"/>
    <w:rsid w:val="3E6F76BC"/>
    <w:rsid w:val="5DC977F2"/>
    <w:rsid w:val="601D6342"/>
    <w:rsid w:val="7132476D"/>
    <w:rsid w:val="76443671"/>
    <w:rsid w:val="7AB45A97"/>
    <w:rsid w:val="FF63B6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622</Words>
  <Characters>718</Characters>
  <Lines>0</Lines>
  <Paragraphs>0</Paragraphs>
  <TotalTime>9</TotalTime>
  <ScaleCrop>false</ScaleCrop>
  <LinksUpToDate>false</LinksUpToDate>
  <CharactersWithSpaces>742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2023-02-28T10:54:00Z</dcterms:created>
  <dc:creator>我是谁</dc:creator>
  <cp:lastModifiedBy>我是谁</cp:lastModifiedBy>
  <dcterms:modified xsi:type="dcterms:W3CDTF">2026-04-13T12:37:16Z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5EFB168788594C5BB286A74811E7FEC8_13</vt:lpwstr>
  </property>
  <property fmtid="{D5CDD505-2E9C-101B-9397-08002B2CF9AE}" pid="4" name="KSOTemplateDocerSaveRecord">
    <vt:lpwstr>eyJoZGlkIjoiMmY5NjI0MjAwNmY2NTQ2MmUzMzc2Nzc3NWYyOTU2NzgiLCJ1c2VySWQiOiIxMTMwODI2NjcwIn0=</vt:lpwstr>
  </property>
</Properties>
</file>