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0A0B6C">
      <w:pPr>
        <w:jc w:val="center"/>
        <w:rPr>
          <w:rFonts w:hint="eastAsia" w:ascii="宋体" w:hAnsi="宋体" w:cs="楷体_GB2312"/>
          <w:b/>
          <w:bCs/>
          <w:sz w:val="40"/>
          <w:szCs w:val="40"/>
        </w:rPr>
      </w:pPr>
      <w:bookmarkStart w:id="0" w:name="_GoBack"/>
      <w:bookmarkEnd w:id="0"/>
      <w:r>
        <w:rPr>
          <w:rFonts w:hint="eastAsia" w:ascii="宋体" w:hAnsi="宋体" w:cs="楷体_GB2312"/>
          <w:b/>
          <w:bCs/>
          <w:sz w:val="40"/>
          <w:szCs w:val="40"/>
          <w:lang w:val="en-US" w:eastAsia="zh-CN"/>
        </w:rPr>
        <w:t xml:space="preserve">咸宁市一次性筷子产品质量监督抽查实施细则 （2026年版） </w:t>
      </w:r>
    </w:p>
    <w:p w14:paraId="12125704">
      <w:pPr>
        <w:spacing w:line="360" w:lineRule="auto"/>
        <w:rPr>
          <w:rFonts w:hint="eastAsia" w:ascii="宋体" w:hAnsi="宋体" w:eastAsia="宋体" w:cs="宋体"/>
          <w:b/>
          <w:bCs w:val="0"/>
          <w:sz w:val="28"/>
          <w:szCs w:val="28"/>
        </w:rPr>
      </w:pPr>
      <w:r>
        <w:rPr>
          <w:rFonts w:hint="eastAsia" w:ascii="宋体" w:hAnsi="宋体" w:eastAsia="宋体" w:cs="宋体"/>
          <w:b/>
          <w:bCs w:val="0"/>
          <w:sz w:val="28"/>
          <w:szCs w:val="28"/>
          <w:lang w:val="en-US" w:eastAsia="zh-CN"/>
        </w:rPr>
        <w:t xml:space="preserve">1 抽样方法 </w:t>
      </w:r>
    </w:p>
    <w:p w14:paraId="5BA1E257">
      <w:pPr>
        <w:spacing w:line="360" w:lineRule="auto"/>
        <w:ind w:firstLine="560" w:firstLineChars="200"/>
        <w:rPr>
          <w:rFonts w:hint="eastAsia" w:ascii="宋体" w:hAnsi="宋体" w:eastAsia="宋体" w:cs="宋体"/>
          <w:bCs/>
          <w:sz w:val="28"/>
          <w:szCs w:val="28"/>
          <w:lang w:val="en-US" w:eastAsia="zh-CN"/>
        </w:rPr>
      </w:pPr>
      <w:r>
        <w:rPr>
          <w:rFonts w:hint="eastAsia" w:ascii="宋体" w:hAnsi="宋体" w:eastAsia="宋体" w:cs="宋体"/>
          <w:bCs/>
          <w:sz w:val="28"/>
          <w:szCs w:val="28"/>
          <w:lang w:val="en-US" w:eastAsia="zh-CN"/>
        </w:rPr>
        <w:t>以随机抽样的方式在生产者、销售者的待销产品中抽取。</w:t>
      </w:r>
    </w:p>
    <w:p w14:paraId="1F2FD486">
      <w:pPr>
        <w:spacing w:line="360" w:lineRule="auto"/>
        <w:ind w:firstLine="560" w:firstLineChars="200"/>
        <w:rPr>
          <w:rFonts w:hint="eastAsia" w:ascii="宋体" w:hAnsi="宋体" w:eastAsia="宋体" w:cs="宋体"/>
          <w:bCs/>
          <w:sz w:val="28"/>
          <w:szCs w:val="28"/>
          <w:lang w:val="en-US" w:eastAsia="zh-CN"/>
        </w:rPr>
      </w:pPr>
      <w:r>
        <w:rPr>
          <w:rFonts w:hint="eastAsia" w:ascii="宋体" w:hAnsi="宋体" w:eastAsia="宋体" w:cs="宋体"/>
          <w:bCs/>
          <w:sz w:val="28"/>
          <w:szCs w:val="28"/>
          <w:lang w:val="en-US" w:eastAsia="zh-CN"/>
        </w:rPr>
        <w:t>产品按批抽样，同条件生产的同一类型、规格、批号的产品组成一批。产品保质期须能 满足抽样、检验工作的时间需要。</w:t>
      </w:r>
    </w:p>
    <w:p w14:paraId="352C5AD7">
      <w:pPr>
        <w:spacing w:line="360" w:lineRule="auto"/>
        <w:ind w:firstLine="560" w:firstLineChars="200"/>
        <w:rPr>
          <w:rFonts w:hint="eastAsia" w:ascii="宋体" w:hAnsi="宋体" w:eastAsia="宋体" w:cs="宋体"/>
          <w:bCs/>
          <w:sz w:val="28"/>
          <w:szCs w:val="28"/>
        </w:rPr>
      </w:pPr>
      <w:r>
        <w:rPr>
          <w:rFonts w:hint="eastAsia" w:ascii="宋体" w:hAnsi="宋体" w:eastAsia="宋体" w:cs="宋体"/>
          <w:bCs/>
          <w:sz w:val="28"/>
          <w:szCs w:val="28"/>
          <w:lang w:val="en-US" w:eastAsia="zh-CN"/>
        </w:rPr>
        <w:t xml:space="preserve">随机从货物的不同部位抽取不低于100双样品，分别将以上样品平均分为两组（每组不少于50双），一组作为检验样品，一组作为备用样品存放检验机构。 </w:t>
      </w:r>
    </w:p>
    <w:p w14:paraId="3DD9E6A5">
      <w:pPr>
        <w:spacing w:line="360" w:lineRule="auto"/>
        <w:rPr>
          <w:rFonts w:hint="eastAsia" w:ascii="宋体" w:hAnsi="宋体" w:eastAsia="宋体" w:cs="宋体"/>
          <w:b/>
          <w:bCs w:val="0"/>
          <w:sz w:val="28"/>
          <w:szCs w:val="28"/>
        </w:rPr>
      </w:pPr>
      <w:r>
        <w:rPr>
          <w:rFonts w:hint="eastAsia" w:ascii="宋体" w:hAnsi="宋体" w:eastAsia="宋体" w:cs="宋体"/>
          <w:b/>
          <w:bCs w:val="0"/>
          <w:sz w:val="28"/>
          <w:szCs w:val="28"/>
          <w:lang w:val="en-US" w:eastAsia="zh-CN"/>
        </w:rPr>
        <w:t xml:space="preserve">2 检验依据 </w:t>
      </w:r>
    </w:p>
    <w:p w14:paraId="6A238428">
      <w:pPr>
        <w:spacing w:line="360" w:lineRule="auto"/>
        <w:ind w:firstLine="560" w:firstLineChars="200"/>
        <w:jc w:val="center"/>
        <w:rPr>
          <w:rFonts w:hint="eastAsia" w:ascii="宋体" w:hAnsi="宋体" w:eastAsia="宋体" w:cs="宋体"/>
          <w:bCs/>
          <w:sz w:val="28"/>
          <w:szCs w:val="28"/>
        </w:rPr>
      </w:pPr>
      <w:r>
        <w:rPr>
          <w:rFonts w:hint="eastAsia" w:ascii="宋体" w:hAnsi="宋体" w:eastAsia="宋体" w:cs="宋体"/>
          <w:bCs/>
          <w:sz w:val="28"/>
          <w:szCs w:val="28"/>
          <w:lang w:val="en-US" w:eastAsia="zh-CN"/>
        </w:rPr>
        <w:t>表 1 一次性竹筷检验项目</w:t>
      </w:r>
    </w:p>
    <w:tbl>
      <w:tblPr>
        <w:tblStyle w:val="2"/>
        <w:tblW w:w="85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8"/>
        <w:gridCol w:w="2271"/>
        <w:gridCol w:w="2620"/>
        <w:gridCol w:w="2781"/>
      </w:tblGrid>
      <w:tr w14:paraId="4F504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8" w:type="dxa"/>
            <w:noWrap w:val="0"/>
            <w:vAlign w:val="top"/>
          </w:tcPr>
          <w:p w14:paraId="09BA072E">
            <w:pPr>
              <w:spacing w:line="360" w:lineRule="auto"/>
              <w:jc w:val="center"/>
              <w:rPr>
                <w:rFonts w:ascii="宋体" w:hAnsi="宋体"/>
                <w:sz w:val="28"/>
                <w:szCs w:val="28"/>
              </w:rPr>
            </w:pPr>
            <w:r>
              <w:rPr>
                <w:rFonts w:hint="eastAsia" w:ascii="宋体" w:hAnsi="宋体"/>
                <w:sz w:val="28"/>
                <w:szCs w:val="28"/>
              </w:rPr>
              <w:t>序号</w:t>
            </w:r>
          </w:p>
        </w:tc>
        <w:tc>
          <w:tcPr>
            <w:tcW w:w="2271" w:type="dxa"/>
            <w:noWrap w:val="0"/>
            <w:vAlign w:val="top"/>
          </w:tcPr>
          <w:p w14:paraId="7E374520">
            <w:pPr>
              <w:spacing w:line="360" w:lineRule="auto"/>
              <w:jc w:val="center"/>
              <w:rPr>
                <w:rFonts w:ascii="宋体" w:hAnsi="宋体"/>
                <w:sz w:val="28"/>
                <w:szCs w:val="28"/>
              </w:rPr>
            </w:pPr>
            <w:r>
              <w:rPr>
                <w:rFonts w:hint="eastAsia" w:ascii="宋体" w:hAnsi="宋体"/>
                <w:sz w:val="28"/>
                <w:szCs w:val="28"/>
              </w:rPr>
              <w:t>检验项目</w:t>
            </w:r>
          </w:p>
        </w:tc>
        <w:tc>
          <w:tcPr>
            <w:tcW w:w="2620" w:type="dxa"/>
            <w:noWrap w:val="0"/>
            <w:vAlign w:val="top"/>
          </w:tcPr>
          <w:p w14:paraId="2AF647AB">
            <w:pPr>
              <w:spacing w:line="360" w:lineRule="auto"/>
              <w:jc w:val="center"/>
              <w:rPr>
                <w:rFonts w:hint="eastAsia" w:ascii="宋体" w:hAnsi="宋体" w:eastAsia="宋体"/>
                <w:sz w:val="28"/>
                <w:szCs w:val="28"/>
                <w:lang w:eastAsia="zh-CN"/>
              </w:rPr>
            </w:pPr>
            <w:r>
              <w:rPr>
                <w:rFonts w:hint="eastAsia" w:ascii="宋体" w:hAnsi="宋体"/>
                <w:sz w:val="28"/>
                <w:szCs w:val="28"/>
                <w:lang w:eastAsia="zh-CN"/>
              </w:rPr>
              <w:t>检验依据</w:t>
            </w:r>
          </w:p>
        </w:tc>
        <w:tc>
          <w:tcPr>
            <w:tcW w:w="2781" w:type="dxa"/>
            <w:noWrap w:val="0"/>
            <w:vAlign w:val="top"/>
          </w:tcPr>
          <w:p w14:paraId="09594D02">
            <w:pPr>
              <w:spacing w:line="360" w:lineRule="auto"/>
              <w:jc w:val="center"/>
              <w:rPr>
                <w:rFonts w:hint="eastAsia" w:ascii="宋体" w:hAnsi="宋体" w:cs="宋体"/>
                <w:sz w:val="28"/>
                <w:szCs w:val="28"/>
              </w:rPr>
            </w:pPr>
            <w:r>
              <w:rPr>
                <w:rFonts w:hint="eastAsia" w:ascii="宋体" w:hAnsi="宋体" w:cs="宋体"/>
                <w:sz w:val="28"/>
                <w:szCs w:val="28"/>
              </w:rPr>
              <w:t>检验方法</w:t>
            </w:r>
          </w:p>
        </w:tc>
      </w:tr>
      <w:tr w14:paraId="129D9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8" w:type="dxa"/>
            <w:noWrap w:val="0"/>
            <w:vAlign w:val="center"/>
          </w:tcPr>
          <w:p w14:paraId="718F6CF0">
            <w:pPr>
              <w:spacing w:line="360" w:lineRule="auto"/>
              <w:jc w:val="center"/>
              <w:rPr>
                <w:rFonts w:ascii="宋体" w:hAnsi="宋体"/>
                <w:sz w:val="28"/>
                <w:szCs w:val="28"/>
              </w:rPr>
            </w:pPr>
            <w:r>
              <w:rPr>
                <w:rFonts w:hint="eastAsia" w:ascii="宋体" w:hAnsi="宋体"/>
                <w:sz w:val="28"/>
                <w:szCs w:val="28"/>
              </w:rPr>
              <w:t>1</w:t>
            </w:r>
          </w:p>
        </w:tc>
        <w:tc>
          <w:tcPr>
            <w:tcW w:w="2271" w:type="dxa"/>
            <w:noWrap w:val="0"/>
            <w:vAlign w:val="center"/>
          </w:tcPr>
          <w:p w14:paraId="7EB0619F">
            <w:pPr>
              <w:spacing w:line="360" w:lineRule="auto"/>
              <w:jc w:val="center"/>
              <w:rPr>
                <w:rFonts w:hint="default" w:ascii="宋体" w:hAnsi="宋体" w:cs="宋体"/>
                <w:sz w:val="28"/>
                <w:szCs w:val="28"/>
                <w:lang w:val="en-US" w:eastAsia="zh-CN"/>
              </w:rPr>
            </w:pPr>
            <w:r>
              <w:rPr>
                <w:rFonts w:hint="eastAsia" w:ascii="宋体" w:hAnsi="宋体" w:cs="宋体"/>
                <w:sz w:val="28"/>
                <w:szCs w:val="28"/>
              </w:rPr>
              <w:t>噻苯咪唑</w:t>
            </w:r>
          </w:p>
        </w:tc>
        <w:tc>
          <w:tcPr>
            <w:tcW w:w="2620" w:type="dxa"/>
            <w:noWrap w:val="0"/>
            <w:vAlign w:val="center"/>
          </w:tcPr>
          <w:p w14:paraId="32A79318">
            <w:pPr>
              <w:spacing w:line="360" w:lineRule="auto"/>
              <w:jc w:val="center"/>
              <w:rPr>
                <w:rFonts w:hint="eastAsia" w:ascii="宋体" w:hAnsi="宋体" w:cs="宋体"/>
                <w:sz w:val="28"/>
                <w:szCs w:val="28"/>
              </w:rPr>
            </w:pPr>
            <w:r>
              <w:rPr>
                <w:rFonts w:hint="eastAsia" w:ascii="宋体" w:hAnsi="宋体" w:cs="宋体"/>
                <w:sz w:val="28"/>
                <w:szCs w:val="28"/>
              </w:rPr>
              <w:t>GB/T 19790.2-2005</w:t>
            </w:r>
          </w:p>
        </w:tc>
        <w:tc>
          <w:tcPr>
            <w:tcW w:w="2781" w:type="dxa"/>
            <w:noWrap w:val="0"/>
            <w:vAlign w:val="center"/>
          </w:tcPr>
          <w:p w14:paraId="319973E8">
            <w:pPr>
              <w:spacing w:line="360" w:lineRule="auto"/>
              <w:jc w:val="center"/>
              <w:rPr>
                <w:rFonts w:hint="eastAsia" w:ascii="宋体" w:hAnsi="宋体" w:cs="宋体"/>
                <w:sz w:val="28"/>
                <w:szCs w:val="28"/>
                <w:lang w:val="en-US" w:eastAsia="zh-CN"/>
              </w:rPr>
            </w:pPr>
            <w:r>
              <w:rPr>
                <w:rFonts w:hint="eastAsia" w:ascii="宋体" w:hAnsi="宋体" w:cs="宋体"/>
                <w:sz w:val="28"/>
                <w:szCs w:val="28"/>
              </w:rPr>
              <w:t>GB/T 19790.2-2005</w:t>
            </w:r>
          </w:p>
        </w:tc>
      </w:tr>
      <w:tr w14:paraId="4CFBD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jc w:val="center"/>
        </w:trPr>
        <w:tc>
          <w:tcPr>
            <w:tcW w:w="848" w:type="dxa"/>
            <w:noWrap w:val="0"/>
            <w:vAlign w:val="center"/>
          </w:tcPr>
          <w:p w14:paraId="4655890F">
            <w:pPr>
              <w:spacing w:line="360" w:lineRule="auto"/>
              <w:jc w:val="center"/>
              <w:rPr>
                <w:rFonts w:ascii="宋体" w:hAnsi="宋体"/>
                <w:sz w:val="28"/>
                <w:szCs w:val="28"/>
              </w:rPr>
            </w:pPr>
            <w:r>
              <w:rPr>
                <w:rFonts w:hint="eastAsia" w:ascii="宋体" w:hAnsi="宋体"/>
                <w:sz w:val="28"/>
                <w:szCs w:val="28"/>
              </w:rPr>
              <w:t>2</w:t>
            </w:r>
          </w:p>
        </w:tc>
        <w:tc>
          <w:tcPr>
            <w:tcW w:w="2271" w:type="dxa"/>
            <w:noWrap w:val="0"/>
            <w:vAlign w:val="center"/>
          </w:tcPr>
          <w:p w14:paraId="2CF3293A">
            <w:pPr>
              <w:spacing w:line="360" w:lineRule="auto"/>
              <w:jc w:val="center"/>
              <w:rPr>
                <w:rFonts w:hint="eastAsia" w:ascii="宋体" w:hAnsi="宋体" w:eastAsia="宋体" w:cs="宋体"/>
                <w:kern w:val="2"/>
                <w:sz w:val="28"/>
                <w:szCs w:val="28"/>
                <w:lang w:val="en-US" w:eastAsia="zh-CN" w:bidi="ar-SA"/>
              </w:rPr>
            </w:pPr>
            <w:r>
              <w:rPr>
                <w:rFonts w:hint="eastAsia" w:ascii="宋体" w:hAnsi="宋体" w:cs="宋体"/>
                <w:sz w:val="28"/>
                <w:szCs w:val="28"/>
              </w:rPr>
              <w:t>联苯</w:t>
            </w:r>
          </w:p>
        </w:tc>
        <w:tc>
          <w:tcPr>
            <w:tcW w:w="2620" w:type="dxa"/>
            <w:noWrap w:val="0"/>
            <w:vAlign w:val="center"/>
          </w:tcPr>
          <w:p w14:paraId="4FDD2F75">
            <w:pPr>
              <w:spacing w:line="360" w:lineRule="auto"/>
              <w:jc w:val="center"/>
              <w:rPr>
                <w:rFonts w:hint="eastAsia" w:ascii="宋体" w:hAnsi="宋体" w:cs="宋体"/>
                <w:sz w:val="28"/>
                <w:szCs w:val="28"/>
              </w:rPr>
            </w:pPr>
            <w:r>
              <w:rPr>
                <w:rFonts w:hint="eastAsia" w:ascii="宋体" w:hAnsi="宋体" w:cs="宋体"/>
                <w:sz w:val="28"/>
                <w:szCs w:val="28"/>
              </w:rPr>
              <w:t>GB/T 19790.2-2005</w:t>
            </w:r>
          </w:p>
        </w:tc>
        <w:tc>
          <w:tcPr>
            <w:tcW w:w="2781" w:type="dxa"/>
            <w:noWrap w:val="0"/>
            <w:vAlign w:val="center"/>
          </w:tcPr>
          <w:p w14:paraId="1ADD598A">
            <w:pPr>
              <w:spacing w:line="360" w:lineRule="auto"/>
              <w:jc w:val="center"/>
              <w:rPr>
                <w:rFonts w:hint="eastAsia" w:ascii="宋体" w:hAnsi="宋体" w:eastAsia="宋体" w:cs="宋体"/>
                <w:kern w:val="2"/>
                <w:sz w:val="28"/>
                <w:szCs w:val="28"/>
                <w:lang w:val="en-US" w:eastAsia="zh-CN" w:bidi="ar-SA"/>
              </w:rPr>
            </w:pPr>
            <w:r>
              <w:rPr>
                <w:rFonts w:hint="eastAsia" w:ascii="宋体" w:hAnsi="宋体" w:cs="宋体"/>
                <w:sz w:val="28"/>
                <w:szCs w:val="28"/>
              </w:rPr>
              <w:t>GB/T 19790.2-2005</w:t>
            </w:r>
          </w:p>
        </w:tc>
      </w:tr>
      <w:tr w14:paraId="1D929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8" w:type="dxa"/>
            <w:noWrap w:val="0"/>
            <w:vAlign w:val="center"/>
          </w:tcPr>
          <w:p w14:paraId="06DECE0A">
            <w:pPr>
              <w:spacing w:line="360" w:lineRule="auto"/>
              <w:jc w:val="center"/>
              <w:rPr>
                <w:rFonts w:ascii="宋体" w:hAnsi="宋体"/>
                <w:sz w:val="28"/>
                <w:szCs w:val="28"/>
              </w:rPr>
            </w:pPr>
            <w:r>
              <w:rPr>
                <w:rFonts w:hint="eastAsia" w:ascii="宋体" w:hAnsi="宋体"/>
                <w:sz w:val="28"/>
                <w:szCs w:val="28"/>
              </w:rPr>
              <w:t>3</w:t>
            </w:r>
          </w:p>
        </w:tc>
        <w:tc>
          <w:tcPr>
            <w:tcW w:w="2271" w:type="dxa"/>
            <w:noWrap w:val="0"/>
            <w:vAlign w:val="center"/>
          </w:tcPr>
          <w:p w14:paraId="72C5065C">
            <w:pPr>
              <w:spacing w:line="360" w:lineRule="auto"/>
              <w:jc w:val="center"/>
              <w:rPr>
                <w:rFonts w:hint="eastAsia" w:ascii="宋体" w:hAnsi="宋体" w:eastAsia="宋体" w:cs="宋体"/>
                <w:kern w:val="2"/>
                <w:sz w:val="28"/>
                <w:szCs w:val="28"/>
                <w:lang w:val="en-US" w:eastAsia="zh-CN" w:bidi="ar-SA"/>
              </w:rPr>
            </w:pPr>
            <w:r>
              <w:rPr>
                <w:rFonts w:hint="eastAsia" w:ascii="宋体" w:hAnsi="宋体" w:cs="宋体"/>
                <w:sz w:val="28"/>
                <w:szCs w:val="28"/>
              </w:rPr>
              <w:t>二氧化硫浸出量</w:t>
            </w:r>
          </w:p>
        </w:tc>
        <w:tc>
          <w:tcPr>
            <w:tcW w:w="2620" w:type="dxa"/>
            <w:noWrap w:val="0"/>
            <w:vAlign w:val="center"/>
          </w:tcPr>
          <w:p w14:paraId="7F14A7F3">
            <w:pPr>
              <w:spacing w:line="360" w:lineRule="auto"/>
              <w:jc w:val="center"/>
              <w:rPr>
                <w:rFonts w:hint="eastAsia" w:ascii="宋体" w:hAnsi="宋体" w:cs="宋体"/>
                <w:sz w:val="28"/>
                <w:szCs w:val="28"/>
              </w:rPr>
            </w:pPr>
            <w:r>
              <w:rPr>
                <w:rFonts w:hint="eastAsia" w:ascii="宋体" w:hAnsi="宋体" w:cs="宋体"/>
                <w:sz w:val="28"/>
                <w:szCs w:val="28"/>
              </w:rPr>
              <w:t>GB/T 19790.2-2005</w:t>
            </w:r>
          </w:p>
        </w:tc>
        <w:tc>
          <w:tcPr>
            <w:tcW w:w="2781" w:type="dxa"/>
            <w:noWrap w:val="0"/>
            <w:vAlign w:val="center"/>
          </w:tcPr>
          <w:p w14:paraId="36FF20B6">
            <w:pPr>
              <w:spacing w:line="360" w:lineRule="auto"/>
              <w:jc w:val="center"/>
              <w:rPr>
                <w:rFonts w:hint="eastAsia" w:ascii="宋体" w:hAnsi="宋体" w:eastAsia="宋体" w:cs="宋体"/>
                <w:kern w:val="2"/>
                <w:sz w:val="28"/>
                <w:szCs w:val="28"/>
                <w:lang w:val="en-US" w:eastAsia="zh-CN" w:bidi="ar-SA"/>
              </w:rPr>
            </w:pPr>
            <w:r>
              <w:rPr>
                <w:rFonts w:hint="eastAsia" w:ascii="宋体" w:hAnsi="宋体" w:cs="宋体"/>
                <w:sz w:val="28"/>
                <w:szCs w:val="28"/>
              </w:rPr>
              <w:t>GB/T 5009.34-2003</w:t>
            </w:r>
          </w:p>
        </w:tc>
      </w:tr>
    </w:tbl>
    <w:p w14:paraId="511B1F1F">
      <w:pPr>
        <w:spacing w:line="360" w:lineRule="auto"/>
        <w:ind w:firstLine="560" w:firstLineChars="200"/>
        <w:rPr>
          <w:rFonts w:hint="eastAsia" w:ascii="宋体" w:hAnsi="宋体" w:eastAsia="宋体" w:cs="宋体"/>
          <w:bCs/>
          <w:sz w:val="28"/>
          <w:szCs w:val="28"/>
          <w:lang w:val="en-US" w:eastAsia="zh-CN"/>
        </w:rPr>
      </w:pPr>
      <w:r>
        <w:rPr>
          <w:rFonts w:hint="eastAsia" w:ascii="宋体" w:hAnsi="宋体" w:eastAsia="宋体" w:cs="宋体"/>
          <w:bCs/>
          <w:sz w:val="28"/>
          <w:szCs w:val="28"/>
          <w:lang w:val="en-US" w:eastAsia="zh-CN"/>
        </w:rPr>
        <w:t>凡是注日期的文件，其随后所有的修改单（不包括勘误的内容）或修订版不适用于本细则。</w:t>
      </w:r>
    </w:p>
    <w:p w14:paraId="2DE3B839">
      <w:pPr>
        <w:spacing w:line="360" w:lineRule="auto"/>
        <w:ind w:firstLine="560" w:firstLineChars="200"/>
        <w:rPr>
          <w:rFonts w:hint="eastAsia" w:ascii="宋体" w:hAnsi="宋体" w:eastAsia="宋体" w:cs="宋体"/>
          <w:bCs/>
          <w:sz w:val="28"/>
          <w:szCs w:val="28"/>
        </w:rPr>
      </w:pPr>
      <w:r>
        <w:rPr>
          <w:rFonts w:hint="eastAsia" w:ascii="宋体" w:hAnsi="宋体" w:eastAsia="宋体" w:cs="宋体"/>
          <w:bCs/>
          <w:sz w:val="28"/>
          <w:szCs w:val="28"/>
          <w:lang w:val="en-US" w:eastAsia="zh-CN"/>
        </w:rPr>
        <w:t xml:space="preserve">凡是不注日期的文件，其最新版本适用于本细则。执行企业标准、团体标准、地方标准的产品，检验项目参照上述内容执行。 </w:t>
      </w:r>
    </w:p>
    <w:p w14:paraId="2D6F87B0">
      <w:pPr>
        <w:spacing w:line="360" w:lineRule="auto"/>
        <w:rPr>
          <w:rFonts w:hint="eastAsia" w:ascii="宋体" w:hAnsi="宋体" w:eastAsia="宋体" w:cs="宋体"/>
          <w:b/>
          <w:bCs w:val="0"/>
          <w:sz w:val="28"/>
          <w:szCs w:val="28"/>
        </w:rPr>
      </w:pPr>
      <w:r>
        <w:rPr>
          <w:rFonts w:hint="eastAsia" w:ascii="宋体" w:hAnsi="宋体" w:eastAsia="宋体" w:cs="宋体"/>
          <w:b/>
          <w:bCs w:val="0"/>
          <w:sz w:val="28"/>
          <w:szCs w:val="28"/>
          <w:lang w:val="en-US" w:eastAsia="zh-CN"/>
        </w:rPr>
        <w:t xml:space="preserve">3 判定规则 </w:t>
      </w:r>
    </w:p>
    <w:p w14:paraId="44461E56">
      <w:pPr>
        <w:numPr>
          <w:ilvl w:val="0"/>
          <w:numId w:val="0"/>
        </w:numPr>
        <w:spacing w:line="360" w:lineRule="auto"/>
        <w:ind w:firstLine="560" w:firstLineChars="200"/>
        <w:rPr>
          <w:rFonts w:hint="eastAsia" w:ascii="宋体" w:hAnsi="宋体" w:eastAsia="宋体" w:cs="宋体"/>
          <w:bCs/>
          <w:sz w:val="28"/>
          <w:szCs w:val="28"/>
          <w:lang w:val="en-US" w:eastAsia="zh-CN"/>
        </w:rPr>
      </w:pPr>
      <w:r>
        <w:rPr>
          <w:rFonts w:hint="eastAsia" w:ascii="宋体" w:hAnsi="宋体" w:eastAsia="宋体" w:cs="宋体"/>
          <w:bCs/>
          <w:sz w:val="28"/>
          <w:szCs w:val="28"/>
          <w:lang w:val="en-US" w:eastAsia="zh-CN"/>
        </w:rPr>
        <w:t xml:space="preserve">3.1 依据标准 </w:t>
      </w:r>
    </w:p>
    <w:p w14:paraId="0FCAB20A">
      <w:pPr>
        <w:numPr>
          <w:ilvl w:val="0"/>
          <w:numId w:val="0"/>
        </w:numPr>
        <w:spacing w:line="360" w:lineRule="auto"/>
        <w:ind w:firstLine="560" w:firstLineChars="200"/>
        <w:rPr>
          <w:rFonts w:hint="eastAsia" w:ascii="宋体" w:hAnsi="宋体" w:eastAsia="宋体" w:cs="宋体"/>
          <w:bCs/>
          <w:sz w:val="28"/>
          <w:szCs w:val="28"/>
          <w:lang w:val="en-US" w:eastAsia="zh-CN"/>
        </w:rPr>
      </w:pPr>
      <w:r>
        <w:rPr>
          <w:rFonts w:hint="eastAsia" w:ascii="宋体" w:hAnsi="宋体" w:eastAsia="宋体" w:cs="宋体"/>
          <w:bCs/>
          <w:sz w:val="28"/>
          <w:szCs w:val="28"/>
          <w:lang w:val="en-US" w:eastAsia="zh-CN"/>
        </w:rPr>
        <w:t xml:space="preserve">GB/T 19790.2-2005 一次性筷子 第2部分：竹筷 </w:t>
      </w:r>
    </w:p>
    <w:p w14:paraId="346CFBE0">
      <w:pPr>
        <w:numPr>
          <w:ilvl w:val="0"/>
          <w:numId w:val="0"/>
        </w:numPr>
        <w:spacing w:line="360" w:lineRule="auto"/>
        <w:ind w:firstLine="560" w:firstLineChars="200"/>
        <w:rPr>
          <w:rFonts w:hint="eastAsia" w:ascii="宋体" w:hAnsi="宋体" w:eastAsia="宋体" w:cs="宋体"/>
          <w:bCs/>
          <w:sz w:val="28"/>
          <w:szCs w:val="28"/>
          <w:lang w:val="en-US" w:eastAsia="zh-CN"/>
        </w:rPr>
      </w:pPr>
      <w:r>
        <w:rPr>
          <w:rFonts w:hint="eastAsia" w:ascii="宋体" w:hAnsi="宋体" w:eastAsia="宋体" w:cs="宋体"/>
          <w:bCs/>
          <w:sz w:val="28"/>
          <w:szCs w:val="28"/>
          <w:lang w:val="en-US" w:eastAsia="zh-CN"/>
        </w:rPr>
        <w:t xml:space="preserve">现行有效的企业标准、团体标准、地方标准及产品明示质量要求 3.2判定原则 </w:t>
      </w:r>
    </w:p>
    <w:p w14:paraId="39513302">
      <w:pPr>
        <w:numPr>
          <w:ilvl w:val="0"/>
          <w:numId w:val="0"/>
        </w:numPr>
        <w:spacing w:line="360" w:lineRule="auto"/>
        <w:ind w:firstLine="560" w:firstLineChars="200"/>
        <w:rPr>
          <w:rFonts w:hint="eastAsia" w:ascii="宋体" w:hAnsi="宋体" w:eastAsia="宋体" w:cs="宋体"/>
          <w:bCs/>
          <w:sz w:val="28"/>
          <w:szCs w:val="28"/>
          <w:lang w:val="en-US" w:eastAsia="zh-CN"/>
        </w:rPr>
      </w:pPr>
      <w:r>
        <w:rPr>
          <w:rFonts w:hint="eastAsia" w:ascii="宋体" w:hAnsi="宋体" w:eastAsia="宋体" w:cs="宋体"/>
          <w:bCs/>
          <w:sz w:val="28"/>
          <w:szCs w:val="28"/>
          <w:lang w:val="en-US" w:eastAsia="zh-CN"/>
        </w:rPr>
        <w:t>经检验，检验项目全部合格，判定为被抽查产品所检项目未发现不合格；检验项目中任一项或一项以上不合格，判定为被抽查产品不合格。</w:t>
      </w:r>
    </w:p>
    <w:p w14:paraId="23715735">
      <w:pPr>
        <w:numPr>
          <w:ilvl w:val="0"/>
          <w:numId w:val="0"/>
        </w:numPr>
        <w:spacing w:line="360" w:lineRule="auto"/>
        <w:ind w:firstLine="560" w:firstLineChars="200"/>
        <w:rPr>
          <w:rFonts w:hint="eastAsia" w:ascii="宋体" w:hAnsi="宋体" w:eastAsia="宋体" w:cs="宋体"/>
          <w:bCs/>
          <w:sz w:val="28"/>
          <w:szCs w:val="28"/>
          <w:lang w:val="en-US" w:eastAsia="zh-CN"/>
        </w:rPr>
      </w:pPr>
      <w:r>
        <w:rPr>
          <w:rFonts w:hint="eastAsia" w:ascii="宋体" w:hAnsi="宋体" w:eastAsia="宋体" w:cs="宋体"/>
          <w:bCs/>
          <w:sz w:val="28"/>
          <w:szCs w:val="28"/>
          <w:lang w:val="en-US" w:eastAsia="zh-CN"/>
        </w:rPr>
        <w:t xml:space="preserve">若被检产品明示的质量要求高于本细则中检验项目依据的标准要求时，应按被检产品明示的质量要求判定。 </w:t>
      </w:r>
    </w:p>
    <w:p w14:paraId="210CE54B">
      <w:pPr>
        <w:numPr>
          <w:ilvl w:val="0"/>
          <w:numId w:val="0"/>
        </w:numPr>
        <w:spacing w:line="360" w:lineRule="auto"/>
        <w:ind w:firstLine="560" w:firstLineChars="200"/>
        <w:rPr>
          <w:rFonts w:hint="eastAsia" w:ascii="宋体" w:hAnsi="宋体" w:eastAsia="宋体" w:cs="宋体"/>
          <w:bCs/>
          <w:sz w:val="28"/>
          <w:szCs w:val="28"/>
          <w:lang w:val="en-US" w:eastAsia="zh-CN"/>
        </w:rPr>
      </w:pPr>
      <w:r>
        <w:rPr>
          <w:rFonts w:hint="eastAsia" w:ascii="宋体" w:hAnsi="宋体" w:eastAsia="宋体" w:cs="宋体"/>
          <w:bCs/>
          <w:sz w:val="28"/>
          <w:szCs w:val="28"/>
          <w:lang w:val="en-US" w:eastAsia="zh-CN"/>
        </w:rPr>
        <w:t xml:space="preserve">若被检产品明示的质量要求低于本细则中检验项目依据的强制性标准要求时，应按照强制性标准要求判定。 </w:t>
      </w:r>
    </w:p>
    <w:p w14:paraId="2D829637">
      <w:pPr>
        <w:numPr>
          <w:ilvl w:val="0"/>
          <w:numId w:val="0"/>
        </w:numPr>
        <w:spacing w:line="360" w:lineRule="auto"/>
        <w:ind w:firstLine="560" w:firstLineChars="200"/>
        <w:rPr>
          <w:rFonts w:hint="eastAsia" w:ascii="宋体" w:hAnsi="宋体" w:eastAsia="宋体" w:cs="宋体"/>
          <w:bCs/>
          <w:sz w:val="28"/>
          <w:szCs w:val="28"/>
          <w:lang w:val="en-US" w:eastAsia="zh-CN"/>
        </w:rPr>
      </w:pPr>
      <w:r>
        <w:rPr>
          <w:rFonts w:hint="eastAsia" w:ascii="宋体" w:hAnsi="宋体" w:eastAsia="宋体" w:cs="宋体"/>
          <w:bCs/>
          <w:sz w:val="28"/>
          <w:szCs w:val="28"/>
          <w:lang w:val="en-US" w:eastAsia="zh-CN"/>
        </w:rPr>
        <w:t xml:space="preserve">若被检产品明示的质量要求低于或包含本细则中检验项目依据的推荐性标准要求时，应以被检产品明示的质量要求判定。 </w:t>
      </w:r>
    </w:p>
    <w:p w14:paraId="5E765D3E">
      <w:pPr>
        <w:numPr>
          <w:ilvl w:val="0"/>
          <w:numId w:val="0"/>
        </w:numPr>
        <w:spacing w:line="360" w:lineRule="auto"/>
        <w:ind w:firstLine="560" w:firstLineChars="200"/>
        <w:rPr>
          <w:rFonts w:hint="eastAsia" w:ascii="宋体" w:hAnsi="宋体" w:eastAsia="宋体" w:cs="宋体"/>
          <w:bCs/>
          <w:sz w:val="28"/>
          <w:szCs w:val="28"/>
          <w:lang w:val="en-US" w:eastAsia="zh-CN"/>
        </w:rPr>
      </w:pPr>
      <w:r>
        <w:rPr>
          <w:rFonts w:hint="eastAsia" w:ascii="宋体" w:hAnsi="宋体" w:eastAsia="宋体" w:cs="宋体"/>
          <w:bCs/>
          <w:sz w:val="28"/>
          <w:szCs w:val="28"/>
          <w:lang w:val="en-US" w:eastAsia="zh-CN"/>
        </w:rPr>
        <w:t xml:space="preserve">若被检产品明示的质量要求缺少本细则中检验项目依据的强制性标准要求时，应按照强制性标准要求判定。 </w:t>
      </w:r>
    </w:p>
    <w:p w14:paraId="0238B192">
      <w:pPr>
        <w:spacing w:line="360" w:lineRule="auto"/>
        <w:ind w:firstLine="560" w:firstLineChars="200"/>
        <w:rPr>
          <w:rFonts w:hint="eastAsia" w:ascii="宋体" w:hAnsi="宋体" w:eastAsia="宋体" w:cs="宋体"/>
          <w:bCs/>
          <w:sz w:val="28"/>
          <w:szCs w:val="28"/>
        </w:rPr>
      </w:pPr>
      <w:r>
        <w:rPr>
          <w:rFonts w:hint="eastAsia" w:ascii="宋体" w:hAnsi="宋体" w:eastAsia="宋体" w:cs="宋体"/>
          <w:bCs/>
          <w:sz w:val="28"/>
          <w:szCs w:val="28"/>
          <w:lang w:val="en-US" w:eastAsia="zh-CN"/>
        </w:rPr>
        <w:t>若被检产品明示的质量要求缺少本细则中检验项目依据的推荐性标准要求时，该项目不参与判定。</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FhZmY5MDRlNjYzMTUxMjNmNjkxZmI3NmY1Njk3MmYifQ=="/>
  </w:docVars>
  <w:rsids>
    <w:rsidRoot w:val="45D32D9A"/>
    <w:rsid w:val="066B317C"/>
    <w:rsid w:val="067B1C86"/>
    <w:rsid w:val="0AB26C7B"/>
    <w:rsid w:val="136F09B5"/>
    <w:rsid w:val="21875EE8"/>
    <w:rsid w:val="225D1783"/>
    <w:rsid w:val="238D5CE0"/>
    <w:rsid w:val="23B70BA2"/>
    <w:rsid w:val="254D700F"/>
    <w:rsid w:val="2BC46AA0"/>
    <w:rsid w:val="327E3A75"/>
    <w:rsid w:val="39686A54"/>
    <w:rsid w:val="3EFA5A7A"/>
    <w:rsid w:val="42DF0CD3"/>
    <w:rsid w:val="45D32D9A"/>
    <w:rsid w:val="47413903"/>
    <w:rsid w:val="494D0152"/>
    <w:rsid w:val="49B50EB3"/>
    <w:rsid w:val="4BAD77B9"/>
    <w:rsid w:val="5202574D"/>
    <w:rsid w:val="65863336"/>
    <w:rsid w:val="696C3DC2"/>
    <w:rsid w:val="6F875EB6"/>
    <w:rsid w:val="72253C9E"/>
    <w:rsid w:val="74F83DEE"/>
    <w:rsid w:val="7DED1734"/>
    <w:rsid w:val="7F7A363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683</Words>
  <Characters>791</Characters>
  <Lines>0</Lines>
  <Paragraphs>0</Paragraphs>
  <TotalTime>6</TotalTime>
  <ScaleCrop>false</ScaleCrop>
  <LinksUpToDate>false</LinksUpToDate>
  <CharactersWithSpaces>822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2024-04-10T12:14:00Z</dcterms:created>
  <dc:creator>我是谁</dc:creator>
  <cp:lastModifiedBy>我是谁</cp:lastModifiedBy>
  <dcterms:modified xsi:type="dcterms:W3CDTF">2026-04-13T12:51:58Z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4F85BF9EA79847A5A58EE2FB0835BF12_13</vt:lpwstr>
  </property>
  <property fmtid="{D5CDD505-2E9C-101B-9397-08002B2CF9AE}" pid="4" name="KSOTemplateDocerSaveRecord">
    <vt:lpwstr>eyJoZGlkIjoiMmY5NjI0MjAwNmY2NTQ2MmUzMzc2Nzc3NWYyOTU2NzgiLCJ1c2VySWQiOiIxMTMwODI2NjcwIn0=</vt:lpwstr>
  </property>
</Properties>
</file>